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3A" w:rsidRDefault="002A743A">
      <w:pPr>
        <w:rPr>
          <w:b/>
          <w:sz w:val="28"/>
          <w:szCs w:val="28"/>
        </w:rPr>
      </w:pPr>
      <w:bookmarkStart w:id="0" w:name="_GoBack"/>
      <w:r>
        <w:rPr>
          <w:b/>
          <w:sz w:val="28"/>
          <w:szCs w:val="28"/>
        </w:rPr>
        <w:t xml:space="preserve">Some Comments on the COMESA/SADC/SACU Value Chain Study Commissioned by </w:t>
      </w:r>
      <w:r w:rsidR="00BE269D">
        <w:rPr>
          <w:b/>
          <w:sz w:val="28"/>
          <w:szCs w:val="28"/>
        </w:rPr>
        <w:t>the</w:t>
      </w:r>
      <w:r>
        <w:rPr>
          <w:b/>
          <w:sz w:val="28"/>
          <w:szCs w:val="28"/>
        </w:rPr>
        <w:t xml:space="preserve"> Tobacco Institute of South</w:t>
      </w:r>
      <w:r w:rsidR="00BE269D">
        <w:rPr>
          <w:b/>
          <w:sz w:val="28"/>
          <w:szCs w:val="28"/>
        </w:rPr>
        <w:t>ern</w:t>
      </w:r>
      <w:r>
        <w:rPr>
          <w:b/>
          <w:sz w:val="28"/>
          <w:szCs w:val="28"/>
        </w:rPr>
        <w:t xml:space="preserve"> Africa (TISA)</w:t>
      </w:r>
      <w:r w:rsidR="00BE269D">
        <w:rPr>
          <w:b/>
          <w:sz w:val="28"/>
          <w:szCs w:val="28"/>
        </w:rPr>
        <w:t xml:space="preserve">. </w:t>
      </w:r>
    </w:p>
    <w:bookmarkEnd w:id="0"/>
    <w:p w:rsidR="00BE269D" w:rsidRPr="00BE269D" w:rsidRDefault="00BE269D">
      <w:pPr>
        <w:rPr>
          <w:b/>
          <w:sz w:val="24"/>
          <w:szCs w:val="24"/>
        </w:rPr>
      </w:pPr>
      <w:r>
        <w:rPr>
          <w:b/>
          <w:sz w:val="24"/>
          <w:szCs w:val="24"/>
        </w:rPr>
        <w:t>By Grieve Chelwa</w:t>
      </w:r>
      <w:r>
        <w:rPr>
          <w:rStyle w:val="FootnoteReference"/>
          <w:b/>
          <w:sz w:val="24"/>
          <w:szCs w:val="24"/>
        </w:rPr>
        <w:footnoteReference w:id="1"/>
      </w:r>
    </w:p>
    <w:p w:rsidR="002A743A" w:rsidRDefault="00BC0983">
      <w:pPr>
        <w:rPr>
          <w:b/>
        </w:rPr>
      </w:pPr>
      <w:r>
        <w:rPr>
          <w:b/>
        </w:rPr>
        <w:t>14</w:t>
      </w:r>
      <w:r w:rsidR="004B67BD" w:rsidRPr="004B67BD">
        <w:rPr>
          <w:b/>
          <w:vertAlign w:val="superscript"/>
        </w:rPr>
        <w:t>th</w:t>
      </w:r>
      <w:r w:rsidR="004B67BD">
        <w:rPr>
          <w:b/>
        </w:rPr>
        <w:t xml:space="preserve"> November, 2012. </w:t>
      </w:r>
    </w:p>
    <w:p w:rsidR="004B67BD" w:rsidRDefault="004B67BD">
      <w:pPr>
        <w:rPr>
          <w:b/>
        </w:rPr>
      </w:pPr>
    </w:p>
    <w:p w:rsidR="00BE269D" w:rsidRPr="004B67BD" w:rsidRDefault="00BE269D" w:rsidP="004B67BD">
      <w:pPr>
        <w:pStyle w:val="ListParagraph"/>
        <w:numPr>
          <w:ilvl w:val="0"/>
          <w:numId w:val="5"/>
        </w:numPr>
        <w:rPr>
          <w:b/>
        </w:rPr>
      </w:pPr>
      <w:r w:rsidRPr="004B67BD">
        <w:rPr>
          <w:b/>
        </w:rPr>
        <w:t>Introduction and Context</w:t>
      </w:r>
    </w:p>
    <w:p w:rsidR="00C9196B" w:rsidRDefault="00BE269D" w:rsidP="00C9196B">
      <w:pPr>
        <w:jc w:val="both"/>
      </w:pPr>
      <w:r>
        <w:t>In</w:t>
      </w:r>
      <w:r w:rsidR="00030493">
        <w:t xml:space="preserve"> late</w:t>
      </w:r>
      <w:r>
        <w:t xml:space="preserve"> October 2012, a study conducted by NKC Independent Economists was released that attempts to measure the primary elements of the tobacco value chain in 15 African countries</w:t>
      </w:r>
      <w:r w:rsidR="004B67BD">
        <w:t xml:space="preserve"> that are part of the COMESA/SADC/SACU regional blocs</w:t>
      </w:r>
      <w:r w:rsidR="00181F7D">
        <w:rPr>
          <w:rStyle w:val="FootnoteReference"/>
        </w:rPr>
        <w:footnoteReference w:id="2"/>
      </w:r>
      <w:r>
        <w:t>. The study was commissioned by the Tobacco Institute of Southern Africa (TISA)</w:t>
      </w:r>
      <w:r w:rsidR="001156DD">
        <w:t>, a body representing the tobacco indu</w:t>
      </w:r>
      <w:r w:rsidR="004B67BD">
        <w:t>stry in the region</w:t>
      </w:r>
      <w:r w:rsidR="001156DD">
        <w:t>. The study’s release coincides with the 5</w:t>
      </w:r>
      <w:r w:rsidR="001156DD" w:rsidRPr="001156DD">
        <w:rPr>
          <w:vertAlign w:val="superscript"/>
        </w:rPr>
        <w:t>th</w:t>
      </w:r>
      <w:r w:rsidR="001156DD">
        <w:t xml:space="preserve"> Conference of Parties (COP 5) </w:t>
      </w:r>
      <w:r w:rsidR="004B67BD">
        <w:t xml:space="preserve">in </w:t>
      </w:r>
      <w:r w:rsidR="001156DD">
        <w:t>South Korea</w:t>
      </w:r>
      <w:r w:rsidR="004B67BD">
        <w:t xml:space="preserve"> and is</w:t>
      </w:r>
      <w:r w:rsidR="00136982">
        <w:t xml:space="preserve"> most likely</w:t>
      </w:r>
      <w:r w:rsidR="004B67BD">
        <w:t xml:space="preserve"> me</w:t>
      </w:r>
      <w:r w:rsidR="00136982">
        <w:t>ant</w:t>
      </w:r>
      <w:r w:rsidR="0022713B">
        <w:t xml:space="preserve"> to</w:t>
      </w:r>
      <w:r w:rsidR="00136982">
        <w:t xml:space="preserve"> influence deliberations around </w:t>
      </w:r>
      <w:r w:rsidR="00181F7D">
        <w:t>A</w:t>
      </w:r>
      <w:r w:rsidR="0022713B">
        <w:t>rticles 17 and 18</w:t>
      </w:r>
      <w:r w:rsidR="00C9196B">
        <w:t xml:space="preserve"> of the Framework Convention on Tobacco Control (FCTC).</w:t>
      </w:r>
      <w:r w:rsidR="0022713B">
        <w:t xml:space="preserve"> </w:t>
      </w:r>
      <w:r w:rsidR="00C9196B">
        <w:t>Articles</w:t>
      </w:r>
      <w:r w:rsidR="00AD5C46">
        <w:t xml:space="preserve"> 17 and 18</w:t>
      </w:r>
      <w:r w:rsidR="00030493">
        <w:t xml:space="preserve"> speak to issues</w:t>
      </w:r>
      <w:r w:rsidR="00AD5C46">
        <w:t xml:space="preserve"> of</w:t>
      </w:r>
      <w:r w:rsidR="00C9196B">
        <w:t xml:space="preserve"> alternative livelihoods and the protection of the health of workers engaged in the growing and processing of tobacco. The aim of thi</w:t>
      </w:r>
      <w:r w:rsidR="00030493">
        <w:t>s short write-up is to critically engage with</w:t>
      </w:r>
      <w:r w:rsidR="00C9196B">
        <w:t xml:space="preserve"> some of the findings of the TISA study as well </w:t>
      </w:r>
      <w:r w:rsidR="00BC0983">
        <w:t>as to question the methods</w:t>
      </w:r>
      <w:r w:rsidR="00C9196B">
        <w:t xml:space="preserve"> used</w:t>
      </w:r>
      <w:r w:rsidR="00BC0983">
        <w:t xml:space="preserve"> by the study</w:t>
      </w:r>
      <w:r w:rsidR="00C9196B">
        <w:t xml:space="preserve">. </w:t>
      </w:r>
    </w:p>
    <w:p w:rsidR="00C9196B" w:rsidRDefault="00C9196B" w:rsidP="00C9196B">
      <w:pPr>
        <w:jc w:val="both"/>
      </w:pPr>
    </w:p>
    <w:p w:rsidR="006F76FD" w:rsidRDefault="00AD5C46" w:rsidP="00C9196B">
      <w:pPr>
        <w:jc w:val="both"/>
      </w:pPr>
      <w:r>
        <w:t>Some of t</w:t>
      </w:r>
      <w:r w:rsidR="00C9196B">
        <w:t>he study’s ma</w:t>
      </w:r>
      <w:r>
        <w:t>in findings are</w:t>
      </w:r>
      <w:r w:rsidR="00C9196B">
        <w:t>:</w:t>
      </w:r>
    </w:p>
    <w:p w:rsidR="00181F7D" w:rsidRDefault="00181F7D" w:rsidP="00C9196B">
      <w:pPr>
        <w:pStyle w:val="ListParagraph"/>
        <w:numPr>
          <w:ilvl w:val="0"/>
          <w:numId w:val="6"/>
        </w:numPr>
        <w:jc w:val="both"/>
      </w:pPr>
      <w:r>
        <w:t xml:space="preserve">The tobacco industry (farming, processing and selling) provides employment to a total of 4.4 million people that support a total of 24 million dependents in the 15 countries covered. </w:t>
      </w:r>
    </w:p>
    <w:p w:rsidR="00181F7D" w:rsidRDefault="00181F7D" w:rsidP="00181F7D">
      <w:pPr>
        <w:pStyle w:val="ListParagraph"/>
        <w:numPr>
          <w:ilvl w:val="0"/>
          <w:numId w:val="6"/>
        </w:numPr>
        <w:jc w:val="both"/>
      </w:pPr>
      <w:r>
        <w:t>Total taxes collected (VAT and Excise taxes) where a total of USD5.6 billion in 2011 for the 15 countries.</w:t>
      </w:r>
    </w:p>
    <w:p w:rsidR="00181F7D" w:rsidRDefault="0022713B" w:rsidP="00181F7D">
      <w:pPr>
        <w:pStyle w:val="ListParagraph"/>
        <w:numPr>
          <w:ilvl w:val="0"/>
          <w:numId w:val="6"/>
        </w:numPr>
        <w:jc w:val="both"/>
      </w:pPr>
      <w:r>
        <w:t xml:space="preserve">Total value of trade (imports and exports) was about USD3 billion for the 15 countries covered. </w:t>
      </w:r>
    </w:p>
    <w:p w:rsidR="006F76FD" w:rsidRDefault="0022713B" w:rsidP="00256322">
      <w:pPr>
        <w:pStyle w:val="ListParagraph"/>
        <w:numPr>
          <w:ilvl w:val="0"/>
          <w:numId w:val="6"/>
        </w:numPr>
        <w:jc w:val="both"/>
      </w:pPr>
      <w:r>
        <w:t>Total value of the tobacco value chain (raw tobacco production, exports, imports, taxes) was estimated at USD10 billion</w:t>
      </w:r>
      <w:r w:rsidR="00F6781F">
        <w:t xml:space="preserve"> (see section 2.4.)</w:t>
      </w:r>
      <w:r w:rsidR="00EA458B">
        <w:t>.</w:t>
      </w:r>
    </w:p>
    <w:p w:rsidR="0022713B" w:rsidRDefault="0022713B" w:rsidP="0022713B">
      <w:pPr>
        <w:jc w:val="both"/>
      </w:pPr>
    </w:p>
    <w:p w:rsidR="007079AC" w:rsidRDefault="00AD5C46" w:rsidP="00AD5C46">
      <w:pPr>
        <w:jc w:val="both"/>
      </w:pPr>
      <w:r>
        <w:t>In what follows, I interrogate thes</w:t>
      </w:r>
      <w:r w:rsidR="00EA458B">
        <w:t>e findings and the methods</w:t>
      </w:r>
      <w:r>
        <w:t xml:space="preserve"> in closer detail. </w:t>
      </w:r>
    </w:p>
    <w:p w:rsidR="00AD5C46" w:rsidRDefault="00AD5C46" w:rsidP="00AD5C46">
      <w:pPr>
        <w:jc w:val="both"/>
      </w:pPr>
    </w:p>
    <w:p w:rsidR="00AD5C46" w:rsidRDefault="00AD5C46" w:rsidP="00AD5C46">
      <w:pPr>
        <w:jc w:val="both"/>
      </w:pPr>
    </w:p>
    <w:p w:rsidR="006F76FD" w:rsidRPr="00AE0793" w:rsidRDefault="005973B1" w:rsidP="00AE0793">
      <w:pPr>
        <w:pStyle w:val="ListParagraph"/>
        <w:numPr>
          <w:ilvl w:val="0"/>
          <w:numId w:val="5"/>
        </w:numPr>
        <w:rPr>
          <w:b/>
        </w:rPr>
      </w:pPr>
      <w:r w:rsidRPr="00AD5C46">
        <w:rPr>
          <w:b/>
        </w:rPr>
        <w:t>General Comments</w:t>
      </w:r>
    </w:p>
    <w:p w:rsidR="00083EFD" w:rsidRDefault="009D494C" w:rsidP="006F76FD">
      <w:pPr>
        <w:pStyle w:val="ListParagraph"/>
        <w:numPr>
          <w:ilvl w:val="1"/>
          <w:numId w:val="5"/>
        </w:numPr>
        <w:jc w:val="both"/>
      </w:pPr>
      <w:r>
        <w:t>Page 9 lists the data sources used</w:t>
      </w:r>
      <w:r w:rsidR="00FA6E4F">
        <w:t xml:space="preserve"> in the study. </w:t>
      </w:r>
      <w:r w:rsidR="00796675">
        <w:t>Apart from consulting reputable data sources such as the IMF, World Bank and FAO for macro variables (whic</w:t>
      </w:r>
      <w:r w:rsidR="00AE0793">
        <w:t>h they mostly get right, see 2.5</w:t>
      </w:r>
      <w:r w:rsidR="00796675">
        <w:t xml:space="preserve"> below), other variables more pertinent to answering the research question</w:t>
      </w:r>
      <w:r w:rsidR="00FA6E4F">
        <w:t xml:space="preserve"> seem to have come from organizations</w:t>
      </w:r>
      <w:r w:rsidR="00796675">
        <w:t xml:space="preserve"> with an interest in the continued surviv</w:t>
      </w:r>
      <w:r w:rsidR="00FA6E4F">
        <w:t>al of the tobacco ind</w:t>
      </w:r>
      <w:r w:rsidR="00083EFD">
        <w:t>ustry. Some of the other</w:t>
      </w:r>
      <w:r w:rsidR="00FA6E4F">
        <w:t xml:space="preserve"> data sources</w:t>
      </w:r>
      <w:r w:rsidR="00083EFD">
        <w:t xml:space="preserve"> listed</w:t>
      </w:r>
      <w:r w:rsidR="00FA6E4F">
        <w:t xml:space="preserve"> include </w:t>
      </w:r>
      <w:r w:rsidR="00796675">
        <w:t xml:space="preserve">International </w:t>
      </w:r>
      <w:r w:rsidR="00C329D0">
        <w:t xml:space="preserve">Tobacco </w:t>
      </w:r>
      <w:r w:rsidR="00796675">
        <w:t>Growers Association (ITGA), Tobacco Institute of South</w:t>
      </w:r>
      <w:r w:rsidR="00FA6E4F">
        <w:t>ern</w:t>
      </w:r>
      <w:r w:rsidR="00796675">
        <w:t xml:space="preserve"> Africa, Alliance One (a tobacco merchant), British American Tobacco (BAT), Japan Tobacco</w:t>
      </w:r>
      <w:r w:rsidR="00FA6E4F">
        <w:t xml:space="preserve"> International</w:t>
      </w:r>
      <w:r w:rsidR="00796675">
        <w:t xml:space="preserve"> and Universal Leaf</w:t>
      </w:r>
      <w:r w:rsidR="00FA6E4F">
        <w:t xml:space="preserve"> among others</w:t>
      </w:r>
      <w:r w:rsidR="00796675">
        <w:t xml:space="preserve">. Growers associations were also consulted. </w:t>
      </w:r>
      <w:r w:rsidR="00FA6E4F">
        <w:t>It is good practise to reference</w:t>
      </w:r>
      <w:r w:rsidR="004A51BD">
        <w:t>,</w:t>
      </w:r>
      <w:r w:rsidR="00FA6E4F">
        <w:t xml:space="preserve"> in full</w:t>
      </w:r>
      <w:r w:rsidR="004A51BD">
        <w:t>,</w:t>
      </w:r>
      <w:r w:rsidR="00FA6E4F">
        <w:t xml:space="preserve"> a particular data source (and to provide internet hyperlink</w:t>
      </w:r>
      <w:r w:rsidR="00030493">
        <w:t>s</w:t>
      </w:r>
      <w:r w:rsidR="00FA6E4F">
        <w:t xml:space="preserve"> where possible) so that others may interrogate the</w:t>
      </w:r>
      <w:r w:rsidR="00086810">
        <w:t xml:space="preserve"> methods</w:t>
      </w:r>
      <w:r w:rsidR="00083EFD">
        <w:t xml:space="preserve"> and</w:t>
      </w:r>
      <w:r w:rsidR="00FA6E4F">
        <w:t xml:space="preserve"> assumptions underlying a particular e</w:t>
      </w:r>
      <w:r w:rsidR="00083EFD">
        <w:t>stimate. This is not done in this</w:t>
      </w:r>
      <w:r w:rsidR="00FA6E4F">
        <w:t xml:space="preserve"> study and it therefor</w:t>
      </w:r>
      <w:r w:rsidR="004A51BD">
        <w:t xml:space="preserve">e casts doubt on the validity </w:t>
      </w:r>
      <w:r w:rsidR="00FA6E4F">
        <w:t>of the</w:t>
      </w:r>
      <w:r w:rsidR="004A51BD">
        <w:t xml:space="preserve"> figures quoted in the report</w:t>
      </w:r>
      <w:r w:rsidR="00FA6E4F">
        <w:t xml:space="preserve">. </w:t>
      </w:r>
      <w:r w:rsidR="00083EFD">
        <w:t>This</w:t>
      </w:r>
      <w:r w:rsidR="0007556F">
        <w:t xml:space="preserve"> is</w:t>
      </w:r>
      <w:r w:rsidR="00083EFD">
        <w:t xml:space="preserve"> especially so for non-publicly available estimates such as employment </w:t>
      </w:r>
      <w:r w:rsidR="00151290">
        <w:t xml:space="preserve">numbers, number of farmers, and so on. </w:t>
      </w:r>
    </w:p>
    <w:p w:rsidR="00083EFD" w:rsidRDefault="00083EFD" w:rsidP="00083EFD">
      <w:pPr>
        <w:pStyle w:val="ListParagraph"/>
      </w:pPr>
    </w:p>
    <w:p w:rsidR="00312870" w:rsidRDefault="00796675" w:rsidP="00083EFD">
      <w:pPr>
        <w:pStyle w:val="ListParagraph"/>
        <w:ind w:left="1080"/>
        <w:jc w:val="both"/>
      </w:pPr>
      <w:r>
        <w:t xml:space="preserve"> </w:t>
      </w:r>
    </w:p>
    <w:p w:rsidR="00C65BA8" w:rsidRDefault="005C4BED" w:rsidP="006F76FD">
      <w:pPr>
        <w:pStyle w:val="ListParagraph"/>
        <w:numPr>
          <w:ilvl w:val="1"/>
          <w:numId w:val="5"/>
        </w:numPr>
        <w:jc w:val="both"/>
      </w:pPr>
      <w:r>
        <w:t>The study</w:t>
      </w:r>
      <w:r w:rsidR="0085690E">
        <w:t xml:space="preserve"> reports on page 1</w:t>
      </w:r>
      <w:r w:rsidR="004A51BD">
        <w:t xml:space="preserve"> that there are a total of 296,890 establishments (wholesale, formal retail, informal retail)</w:t>
      </w:r>
      <w:r w:rsidR="0085690E">
        <w:t xml:space="preserve"> selling finished tobacco products in</w:t>
      </w:r>
      <w:r w:rsidR="004A51BD">
        <w:t xml:space="preserve"> the 15 countries</w:t>
      </w:r>
      <w:r w:rsidR="0085690E">
        <w:t xml:space="preserve"> covered</w:t>
      </w:r>
      <w:r w:rsidR="004A51BD">
        <w:t>. T</w:t>
      </w:r>
      <w:r w:rsidR="00832275">
        <w:t>his number is reported without any further commentary but the implied conclusion is that these establishments rely on selling tobacco products and failure to do so would jeopardize their financial position. But the</w:t>
      </w:r>
      <w:r w:rsidR="0085690E">
        <w:t xml:space="preserve">se establishments sell other fast moving consumer </w:t>
      </w:r>
      <w:r w:rsidR="003216BE">
        <w:t>goods (</w:t>
      </w:r>
      <w:r w:rsidR="00035278">
        <w:t>bread</w:t>
      </w:r>
      <w:r w:rsidR="00832275">
        <w:t xml:space="preserve">, </w:t>
      </w:r>
      <w:r w:rsidR="00035278">
        <w:t>milk, eggs</w:t>
      </w:r>
      <w:r w:rsidR="00832275">
        <w:t>, etc…)</w:t>
      </w:r>
      <w:r w:rsidR="0085690E">
        <w:t xml:space="preserve"> alongside tobacco products and it is </w:t>
      </w:r>
      <w:r w:rsidR="00832275">
        <w:t>a stretch to imply that 296,000 entities would cease to exist if prevented from selling tobacco. In any case, Warner (2000</w:t>
      </w:r>
      <w:r w:rsidR="0085690E">
        <w:t>)</w:t>
      </w:r>
      <w:r w:rsidR="003C53A8">
        <w:rPr>
          <w:rStyle w:val="FootnoteReference"/>
        </w:rPr>
        <w:footnoteReference w:id="3"/>
      </w:r>
      <w:r w:rsidR="0085690E">
        <w:t xml:space="preserve"> argues</w:t>
      </w:r>
      <w:r w:rsidR="00832275">
        <w:t xml:space="preserve"> that the money saved from</w:t>
      </w:r>
      <w:r w:rsidR="0085690E">
        <w:t xml:space="preserve"> not</w:t>
      </w:r>
      <w:r w:rsidR="00832275">
        <w:t xml:space="preserve"> buying finished tobacco products would be spent on something </w:t>
      </w:r>
      <w:r w:rsidR="00494408">
        <w:t>else (</w:t>
      </w:r>
      <w:r w:rsidR="00832275">
        <w:t xml:space="preserve">additional bread, milk, </w:t>
      </w:r>
      <w:r w:rsidR="003C53A8">
        <w:t>eggs, etc…)</w:t>
      </w:r>
      <w:r w:rsidR="00AE0793">
        <w:t xml:space="preserve"> which would generate extra employment for those genuinely at risk of losing their livelihoods</w:t>
      </w:r>
      <w:r w:rsidR="00832275">
        <w:t xml:space="preserve">. </w:t>
      </w:r>
    </w:p>
    <w:p w:rsidR="00BB4E3B" w:rsidRDefault="00BB4E3B" w:rsidP="00BB4E3B">
      <w:pPr>
        <w:pStyle w:val="ListParagraph"/>
        <w:ind w:left="1080"/>
        <w:jc w:val="both"/>
      </w:pPr>
    </w:p>
    <w:p w:rsidR="00BB4E3B" w:rsidRDefault="00BB4E3B" w:rsidP="00BB4E3B">
      <w:pPr>
        <w:pStyle w:val="ListParagraph"/>
        <w:numPr>
          <w:ilvl w:val="1"/>
          <w:numId w:val="5"/>
        </w:numPr>
        <w:jc w:val="both"/>
      </w:pPr>
      <w:r>
        <w:t xml:space="preserve">The study reports that there </w:t>
      </w:r>
      <w:r w:rsidR="0007556F">
        <w:t xml:space="preserve">are </w:t>
      </w:r>
      <w:r>
        <w:t>1.2 million small-scale tobacco farmers,</w:t>
      </w:r>
      <w:r w:rsidR="0007556F">
        <w:t xml:space="preserve">   </w:t>
      </w:r>
      <w:r>
        <w:t>employing</w:t>
      </w:r>
      <w:r w:rsidR="00151290">
        <w:t xml:space="preserve"> 3.9</w:t>
      </w:r>
      <w:r>
        <w:t xml:space="preserve"> million people in the region. A total of 18 million are in turn dependent on the farmers and their employees for their livelihoods.   Further, the study reports that the value of raw tobacco produced i</w:t>
      </w:r>
      <w:r w:rsidR="00D92033">
        <w:t>n 2011 was USD1.2 billion. This</w:t>
      </w:r>
      <w:r>
        <w:t xml:space="preserve"> data come</w:t>
      </w:r>
      <w:r w:rsidR="00D92033">
        <w:t>s</w:t>
      </w:r>
      <w:r>
        <w:t xml:space="preserve"> from only 9 out of 15 countries: Angola did not report any data while Egypt and the BLNS countr</w:t>
      </w:r>
      <w:r w:rsidR="00D92033">
        <w:t>ies had a “not applicable” entry</w:t>
      </w:r>
      <w:r>
        <w:t xml:space="preserve"> against their names</w:t>
      </w:r>
      <w:r>
        <w:rPr>
          <w:rStyle w:val="FootnoteReference"/>
        </w:rPr>
        <w:footnoteReference w:id="4"/>
      </w:r>
      <w:r>
        <w:t>. Do these numbers represent a significant proportion of each country’s total agricultural employment and is the income for each person reliant on tobacco agriculture significant? To answer this question, I obtained data on total agricultural employment from the Food and Agriculture Organization’s online statistics database, FAOSTAT</w:t>
      </w:r>
      <w:r>
        <w:rPr>
          <w:rStyle w:val="FootnoteReference"/>
        </w:rPr>
        <w:footnoteReference w:id="5"/>
      </w:r>
      <w:r>
        <w:t xml:space="preserve"> and information on Gross Domestic P</w:t>
      </w:r>
      <w:r w:rsidR="00D92033">
        <w:t xml:space="preserve">roduct per </w:t>
      </w:r>
      <w:r w:rsidR="00D92033">
        <w:lastRenderedPageBreak/>
        <w:t>c</w:t>
      </w:r>
      <w:r>
        <w:t xml:space="preserve">apita, in 2011 US dollars, from the IMF’s World Economic Outlook database. The numbers </w:t>
      </w:r>
      <w:r w:rsidR="00151290">
        <w:t xml:space="preserve">of </w:t>
      </w:r>
      <w:r>
        <w:t xml:space="preserve">small-scale tobacco farmers, associated employment levels, number of dependents and production values come from the TISA study. The results of this analysis are contained in </w:t>
      </w:r>
      <w:r w:rsidR="00D73645">
        <w:fldChar w:fldCharType="begin"/>
      </w:r>
      <w:r>
        <w:instrText xml:space="preserve"> REF _Ref339994849 \h </w:instrText>
      </w:r>
      <w:r w:rsidR="00D73645">
        <w:fldChar w:fldCharType="separate"/>
      </w:r>
      <w:r>
        <w:t xml:space="preserve">Table </w:t>
      </w:r>
      <w:r>
        <w:rPr>
          <w:noProof/>
        </w:rPr>
        <w:t>1</w:t>
      </w:r>
      <w:r w:rsidR="00D73645">
        <w:fldChar w:fldCharType="end"/>
      </w:r>
      <w:r>
        <w:t>. From the table, one sees that on average, tobacco employment constitutes 2.5% of total agricultural employment in the 9 countries reporting. With the exception of Malawi (at about 20%) and Zimbabwe (at 17%), the contribution of tobacco employment to overall agriculture employment is less than 10%</w:t>
      </w:r>
      <w:r>
        <w:rPr>
          <w:rStyle w:val="FootnoteReference"/>
        </w:rPr>
        <w:footnoteReference w:id="6"/>
      </w:r>
      <w:r>
        <w:t>. As a matter of fact, excluding the two outliers would bring the average contribution of tobacco employment down to 0.93%.</w:t>
      </w:r>
      <w:r w:rsidR="00FF1FEA">
        <w:t xml:space="preserve"> </w:t>
      </w:r>
    </w:p>
    <w:p w:rsidR="00CA21FA" w:rsidRDefault="00CA21FA" w:rsidP="00CA21FA">
      <w:pPr>
        <w:pStyle w:val="ListParagraph"/>
        <w:ind w:left="1080"/>
        <w:jc w:val="both"/>
      </w:pPr>
    </w:p>
    <w:p w:rsidR="00BB4E3B" w:rsidRDefault="00BB4E3B" w:rsidP="00BB4E3B">
      <w:pPr>
        <w:pStyle w:val="ListParagraph"/>
        <w:ind w:left="1080"/>
        <w:jc w:val="both"/>
      </w:pPr>
      <w:r>
        <w:t>As far as incomes are concerned, each person (farmer, employee and dependent) reliant on tobac</w:t>
      </w:r>
      <w:r w:rsidR="00A775FC">
        <w:t>co farming obtained an income of</w:t>
      </w:r>
      <w:r>
        <w:t xml:space="preserve"> USD56 on average in 2011</w:t>
      </w:r>
      <w:r>
        <w:rPr>
          <w:rStyle w:val="FootnoteReference"/>
        </w:rPr>
        <w:footnoteReference w:id="7"/>
      </w:r>
      <w:r>
        <w:t xml:space="preserve">. This represents only 10% of the region’s average GDP per capita. Stated differently, the income of the average citizen in the COMESA/SADC/SACU region is ten times bigger than the income of the average person reliant on tobacco for a living within the same region. Stated this way, it does not seem that </w:t>
      </w:r>
      <w:r w:rsidR="00241600">
        <w:t>tobacco farming is as valuable</w:t>
      </w:r>
      <w:r w:rsidR="00D92033">
        <w:t xml:space="preserve"> as stated in the report. </w:t>
      </w:r>
      <w:r w:rsidR="00CB36EC">
        <w:t>Further, an annual income of USD56 per person may not be sufficient to purchase food and other daily necessities. It is, there</w:t>
      </w:r>
      <w:r w:rsidR="00A775FC">
        <w:t xml:space="preserve">fore, quite likely that the </w:t>
      </w:r>
      <w:r w:rsidR="00CB36EC">
        <w:t xml:space="preserve">income is supplemented by either growing one’s own food or engaging in other economic </w:t>
      </w:r>
      <w:r w:rsidR="008E3FBB">
        <w:t xml:space="preserve">activities. </w:t>
      </w:r>
      <w:r w:rsidR="00F9723F">
        <w:t xml:space="preserve">This further diminishes the economic importance of tobacco farming. </w:t>
      </w:r>
      <w:r w:rsidR="00CB36EC">
        <w:t xml:space="preserve">  </w:t>
      </w:r>
      <w:r w:rsidR="003715E5">
        <w:t xml:space="preserve"> </w:t>
      </w:r>
    </w:p>
    <w:p w:rsidR="00BB4E3B" w:rsidRDefault="00151290" w:rsidP="00BB4E3B">
      <w:pPr>
        <w:ind w:left="1080"/>
        <w:jc w:val="both"/>
      </w:pPr>
      <w:r>
        <w:t>Lastly on this point</w:t>
      </w:r>
      <w:r w:rsidR="00BB4E3B">
        <w:t>, the study’s presumption is that 1.2 million small-scale farmers (</w:t>
      </w:r>
      <w:r w:rsidR="00AB111E">
        <w:t xml:space="preserve">alongside </w:t>
      </w:r>
      <w:r w:rsidR="00BB4E3B">
        <w:t>their employees and dependents) would be rendered destitute if they could not sell raw tobacco anymore. This is unlikely to be the case. As Warner (2000)</w:t>
      </w:r>
      <w:r w:rsidR="00BB4E3B">
        <w:rPr>
          <w:rStyle w:val="FootnoteReference"/>
        </w:rPr>
        <w:footnoteReference w:id="8"/>
      </w:r>
      <w:r w:rsidR="00BB4E3B">
        <w:t xml:space="preserve"> has argued, money not spent on buying tobacco</w:t>
      </w:r>
      <w:r w:rsidR="00791B7F">
        <w:t xml:space="preserve"> (both raw and manufactured) </w:t>
      </w:r>
      <w:r w:rsidR="00BB4E3B">
        <w:t>would be spent on something else, eit</w:t>
      </w:r>
      <w:r w:rsidR="00791B7F">
        <w:t>her in agriculture or elsewhere.</w:t>
      </w:r>
      <w:r w:rsidR="00BB4E3B">
        <w:t xml:space="preserve"> </w:t>
      </w:r>
      <w:r w:rsidR="00791B7F">
        <w:t>This would create additi</w:t>
      </w:r>
      <w:r w:rsidR="007730CE">
        <w:t xml:space="preserve">onal employment for those </w:t>
      </w:r>
      <w:r w:rsidR="00BB4E3B">
        <w:t>genuinely at ris</w:t>
      </w:r>
      <w:r>
        <w:t xml:space="preserve">k of losing their livelihoods. </w:t>
      </w:r>
    </w:p>
    <w:p w:rsidR="00542FF3" w:rsidRDefault="00542FF3" w:rsidP="00542FF3">
      <w:pPr>
        <w:jc w:val="both"/>
      </w:pPr>
    </w:p>
    <w:p w:rsidR="00BB4E3B" w:rsidRDefault="00BB4E3B" w:rsidP="00542FF3">
      <w:pPr>
        <w:jc w:val="both"/>
      </w:pPr>
    </w:p>
    <w:p w:rsidR="00BB4E3B" w:rsidRDefault="00BB4E3B" w:rsidP="00542FF3">
      <w:pPr>
        <w:jc w:val="both"/>
      </w:pPr>
    </w:p>
    <w:p w:rsidR="00BB4E3B" w:rsidRDefault="00BB4E3B" w:rsidP="00542FF3">
      <w:pPr>
        <w:jc w:val="both"/>
      </w:pPr>
    </w:p>
    <w:p w:rsidR="00BB4E3B" w:rsidRDefault="00BB4E3B" w:rsidP="00542FF3">
      <w:pPr>
        <w:jc w:val="both"/>
      </w:pPr>
    </w:p>
    <w:p w:rsidR="00BB4E3B" w:rsidRDefault="00BB4E3B" w:rsidP="00542FF3">
      <w:pPr>
        <w:jc w:val="both"/>
      </w:pPr>
    </w:p>
    <w:p w:rsidR="00BB4E3B" w:rsidRDefault="00BB4E3B" w:rsidP="00542FF3">
      <w:pPr>
        <w:jc w:val="both"/>
      </w:pPr>
    </w:p>
    <w:p w:rsidR="00D175B1" w:rsidRDefault="00D175B1" w:rsidP="00D175B1">
      <w:pPr>
        <w:spacing w:after="0" w:line="240" w:lineRule="auto"/>
        <w:rPr>
          <w:rFonts w:ascii="Calibri" w:eastAsia="Times New Roman" w:hAnsi="Calibri" w:cs="Calibri"/>
          <w:color w:val="000000"/>
          <w:sz w:val="20"/>
          <w:szCs w:val="20"/>
          <w:lang w:eastAsia="en-ZA"/>
        </w:rPr>
        <w:sectPr w:rsidR="00D175B1">
          <w:pgSz w:w="11906" w:h="16838"/>
          <w:pgMar w:top="1440" w:right="1440" w:bottom="1440" w:left="1440" w:header="708" w:footer="708" w:gutter="0"/>
          <w:cols w:space="708"/>
          <w:docGrid w:linePitch="360"/>
        </w:sectPr>
      </w:pPr>
    </w:p>
    <w:tbl>
      <w:tblPr>
        <w:tblW w:w="15310" w:type="dxa"/>
        <w:tblInd w:w="-601" w:type="dxa"/>
        <w:tblLayout w:type="fixed"/>
        <w:tblLook w:val="04A0" w:firstRow="1" w:lastRow="0" w:firstColumn="1" w:lastColumn="0" w:noHBand="0" w:noVBand="1"/>
      </w:tblPr>
      <w:tblGrid>
        <w:gridCol w:w="3403"/>
        <w:gridCol w:w="1190"/>
        <w:gridCol w:w="1191"/>
        <w:gridCol w:w="1191"/>
        <w:gridCol w:w="1247"/>
        <w:gridCol w:w="1181"/>
        <w:gridCol w:w="1181"/>
        <w:gridCol w:w="1182"/>
        <w:gridCol w:w="1181"/>
        <w:gridCol w:w="1181"/>
        <w:gridCol w:w="1182"/>
      </w:tblGrid>
      <w:tr w:rsidR="00D92033" w:rsidRPr="00D175B1" w:rsidTr="00403185">
        <w:trPr>
          <w:trHeight w:val="516"/>
        </w:trPr>
        <w:tc>
          <w:tcPr>
            <w:tcW w:w="3403" w:type="dxa"/>
            <w:tcBorders>
              <w:top w:val="nil"/>
              <w:left w:val="nil"/>
              <w:bottom w:val="single" w:sz="4" w:space="0" w:color="auto"/>
              <w:right w:val="nil"/>
            </w:tcBorders>
            <w:shd w:val="clear" w:color="auto" w:fill="auto"/>
            <w:noWrap/>
            <w:hideMark/>
          </w:tcPr>
          <w:p w:rsidR="00D92033" w:rsidRPr="0005734E" w:rsidRDefault="00D92033" w:rsidP="00403185">
            <w:pPr>
              <w:spacing w:after="0" w:line="240" w:lineRule="auto"/>
              <w:rPr>
                <w:rFonts w:ascii="Calibri" w:eastAsia="Times New Roman" w:hAnsi="Calibri" w:cs="Calibri"/>
                <w:b/>
                <w:color w:val="000000"/>
                <w:sz w:val="20"/>
                <w:szCs w:val="20"/>
                <w:lang w:eastAsia="en-ZA"/>
              </w:rPr>
            </w:pPr>
          </w:p>
        </w:tc>
        <w:tc>
          <w:tcPr>
            <w:tcW w:w="119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Ethiopia</w:t>
            </w:r>
          </w:p>
        </w:tc>
        <w:tc>
          <w:tcPr>
            <w:tcW w:w="119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Kenya</w:t>
            </w:r>
          </w:p>
        </w:tc>
        <w:tc>
          <w:tcPr>
            <w:tcW w:w="119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Malawi</w:t>
            </w:r>
          </w:p>
        </w:tc>
        <w:tc>
          <w:tcPr>
            <w:tcW w:w="1247"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8"/>
                <w:szCs w:val="18"/>
                <w:lang w:eastAsia="en-ZA"/>
              </w:rPr>
            </w:pPr>
            <w:r w:rsidRPr="00CD38F7">
              <w:rPr>
                <w:rFonts w:ascii="Calibri" w:eastAsia="Times New Roman" w:hAnsi="Calibri" w:cs="Calibri"/>
                <w:b/>
                <w:bCs/>
                <w:sz w:val="18"/>
                <w:szCs w:val="18"/>
                <w:lang w:eastAsia="en-ZA"/>
              </w:rPr>
              <w:t>Mozambique</w:t>
            </w:r>
          </w:p>
        </w:tc>
        <w:tc>
          <w:tcPr>
            <w:tcW w:w="118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S. Africa</w:t>
            </w:r>
          </w:p>
        </w:tc>
        <w:tc>
          <w:tcPr>
            <w:tcW w:w="118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Tanzania</w:t>
            </w:r>
          </w:p>
        </w:tc>
        <w:tc>
          <w:tcPr>
            <w:tcW w:w="1182"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Uganda</w:t>
            </w:r>
          </w:p>
        </w:tc>
        <w:tc>
          <w:tcPr>
            <w:tcW w:w="118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Zambia</w:t>
            </w:r>
          </w:p>
        </w:tc>
        <w:tc>
          <w:tcPr>
            <w:tcW w:w="1181"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Zimbabwe</w:t>
            </w:r>
          </w:p>
        </w:tc>
        <w:tc>
          <w:tcPr>
            <w:tcW w:w="1182" w:type="dxa"/>
            <w:tcBorders>
              <w:top w:val="single" w:sz="4" w:space="0" w:color="auto"/>
              <w:left w:val="nil"/>
              <w:bottom w:val="single" w:sz="4" w:space="0" w:color="auto"/>
              <w:right w:val="single" w:sz="4" w:space="0" w:color="auto"/>
            </w:tcBorders>
            <w:shd w:val="clear" w:color="000000" w:fill="A6A6A6"/>
            <w:noWrap/>
            <w:vAlign w:val="center"/>
            <w:hideMark/>
          </w:tcPr>
          <w:p w:rsidR="00D92033" w:rsidRPr="00CD38F7" w:rsidRDefault="00D92033" w:rsidP="00403185">
            <w:pPr>
              <w:spacing w:after="0" w:line="240" w:lineRule="auto"/>
              <w:jc w:val="center"/>
              <w:rPr>
                <w:rFonts w:ascii="Calibri" w:eastAsia="Times New Roman" w:hAnsi="Calibri" w:cs="Calibri"/>
                <w:b/>
                <w:bCs/>
                <w:sz w:val="19"/>
                <w:szCs w:val="19"/>
                <w:lang w:eastAsia="en-ZA"/>
              </w:rPr>
            </w:pPr>
            <w:r w:rsidRPr="00CD38F7">
              <w:rPr>
                <w:rFonts w:ascii="Calibri" w:eastAsia="Times New Roman" w:hAnsi="Calibri" w:cs="Calibri"/>
                <w:b/>
                <w:bCs/>
                <w:sz w:val="19"/>
                <w:szCs w:val="19"/>
                <w:lang w:eastAsia="en-ZA"/>
              </w:rPr>
              <w:t>Total</w:t>
            </w:r>
          </w:p>
        </w:tc>
      </w:tr>
      <w:tr w:rsidR="00D92033" w:rsidRPr="00D175B1" w:rsidTr="00403185">
        <w:trPr>
          <w:trHeight w:val="516"/>
        </w:trPr>
        <w:tc>
          <w:tcPr>
            <w:tcW w:w="340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Total Agriculture Employment</w:t>
            </w:r>
          </w:p>
        </w:tc>
        <w:tc>
          <w:tcPr>
            <w:tcW w:w="1190"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65 076 000</w:t>
            </w:r>
          </w:p>
        </w:tc>
        <w:tc>
          <w:tcPr>
            <w:tcW w:w="119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29 163 000</w:t>
            </w:r>
          </w:p>
        </w:tc>
        <w:tc>
          <w:tcPr>
            <w:tcW w:w="119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11 123 000</w:t>
            </w:r>
          </w:p>
        </w:tc>
        <w:tc>
          <w:tcPr>
            <w:tcW w:w="1247"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18 121 000</w:t>
            </w:r>
          </w:p>
        </w:tc>
        <w:tc>
          <w:tcPr>
            <w:tcW w:w="118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4 762 000</w:t>
            </w:r>
          </w:p>
        </w:tc>
        <w:tc>
          <w:tcPr>
            <w:tcW w:w="118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33 615 000</w:t>
            </w:r>
          </w:p>
        </w:tc>
        <w:tc>
          <w:tcPr>
            <w:tcW w:w="1182"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25 139 000</w:t>
            </w:r>
          </w:p>
        </w:tc>
        <w:tc>
          <w:tcPr>
            <w:tcW w:w="118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8 439 000</w:t>
            </w:r>
          </w:p>
        </w:tc>
        <w:tc>
          <w:tcPr>
            <w:tcW w:w="1181" w:type="dxa"/>
            <w:tcBorders>
              <w:top w:val="single"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7 098 000</w:t>
            </w:r>
          </w:p>
        </w:tc>
        <w:tc>
          <w:tcPr>
            <w:tcW w:w="1182" w:type="dxa"/>
            <w:tcBorders>
              <w:top w:val="single" w:sz="4" w:space="0" w:color="auto"/>
              <w:left w:val="nil"/>
              <w:bottom w:val="dotted" w:sz="4" w:space="0" w:color="auto"/>
              <w:right w:val="single" w:sz="4" w:space="0" w:color="auto"/>
            </w:tcBorders>
            <w:shd w:val="clear" w:color="auto" w:fill="auto"/>
            <w:noWrap/>
            <w:vAlign w:val="center"/>
            <w:hideMark/>
          </w:tcPr>
          <w:p w:rsidR="00D92033" w:rsidRPr="0005734E" w:rsidRDefault="00D92033" w:rsidP="00403185">
            <w:pPr>
              <w:spacing w:after="0" w:line="240" w:lineRule="auto"/>
              <w:jc w:val="center"/>
              <w:rPr>
                <w:rFonts w:ascii="Calibri" w:eastAsia="Times New Roman" w:hAnsi="Calibri" w:cs="Calibri"/>
                <w:b/>
                <w:color w:val="000000"/>
                <w:sz w:val="19"/>
                <w:szCs w:val="19"/>
                <w:lang w:eastAsia="en-ZA"/>
              </w:rPr>
            </w:pPr>
            <w:r w:rsidRPr="0005734E">
              <w:rPr>
                <w:rFonts w:ascii="Calibri" w:eastAsia="Times New Roman" w:hAnsi="Calibri" w:cs="Calibri"/>
                <w:b/>
                <w:color w:val="000000"/>
                <w:sz w:val="19"/>
                <w:szCs w:val="19"/>
                <w:lang w:eastAsia="en-ZA"/>
              </w:rPr>
              <w:t>202 536 000</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Tobacco Farmers</w:t>
            </w:r>
          </w:p>
        </w:tc>
        <w:tc>
          <w:tcPr>
            <w:tcW w:w="1190"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3 500</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35 000</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750 000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112 000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177</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116 010</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75 000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22 500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65 600</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sidRPr="000907B4">
              <w:rPr>
                <w:rFonts w:ascii="Calibri" w:eastAsia="Times New Roman" w:hAnsi="Calibri" w:cs="Calibri"/>
                <w:b/>
                <w:color w:val="000000"/>
                <w:sz w:val="20"/>
                <w:szCs w:val="20"/>
                <w:lang w:eastAsia="en-ZA"/>
              </w:rPr>
              <w:t>1 179 787</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Tobacco farm employment</w:t>
            </w:r>
          </w:p>
        </w:tc>
        <w:tc>
          <w:tcPr>
            <w:tcW w:w="1190"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3 500</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70 000</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1 400 600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550 400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9 904</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116 010</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150 000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450 000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1 135 000</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sidRPr="000907B4">
              <w:rPr>
                <w:rFonts w:ascii="Calibri" w:eastAsia="Times New Roman" w:hAnsi="Calibri" w:cs="Calibri"/>
                <w:b/>
                <w:color w:val="000000"/>
                <w:sz w:val="20"/>
                <w:szCs w:val="20"/>
                <w:lang w:eastAsia="en-ZA"/>
              </w:rPr>
              <w:t>3 885 414</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vAlign w:val="center"/>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Number of employees per farmer</w:t>
            </w:r>
          </w:p>
        </w:tc>
        <w:tc>
          <w:tcPr>
            <w:tcW w:w="1190"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247"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56</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20</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17</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sidRPr="000907B4">
              <w:rPr>
                <w:rFonts w:ascii="Calibri" w:eastAsia="Times New Roman" w:hAnsi="Calibri" w:cs="Calibri"/>
                <w:b/>
                <w:color w:val="000000"/>
                <w:sz w:val="20"/>
                <w:szCs w:val="20"/>
                <w:lang w:eastAsia="en-ZA"/>
              </w:rPr>
              <w:t>3</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vAlign w:val="center"/>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Tobacco production value per farmer + employees + dependents (USD)</w:t>
            </w:r>
          </w:p>
        </w:tc>
        <w:tc>
          <w:tcPr>
            <w:tcW w:w="1190"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n/a</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80</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40</w:t>
            </w:r>
          </w:p>
        </w:tc>
        <w:tc>
          <w:tcPr>
            <w:tcW w:w="1247"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23</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1 198</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312</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79</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45</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52</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56</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vAlign w:val="center"/>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GDP per capital (USD) in 2011 current prices</w:t>
            </w:r>
            <w:r w:rsidRPr="0005734E">
              <w:rPr>
                <w:rStyle w:val="FootnoteReference"/>
                <w:rFonts w:ascii="Calibri" w:eastAsia="Times New Roman" w:hAnsi="Calibri" w:cs="Calibri"/>
                <w:b/>
                <w:bCs/>
                <w:color w:val="000000"/>
                <w:sz w:val="20"/>
                <w:szCs w:val="20"/>
                <w:lang w:eastAsia="en-ZA"/>
              </w:rPr>
              <w:footnoteReference w:id="9"/>
            </w:r>
          </w:p>
        </w:tc>
        <w:tc>
          <w:tcPr>
            <w:tcW w:w="1190"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n/a</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850</w:t>
            </w:r>
          </w:p>
        </w:tc>
        <w:tc>
          <w:tcPr>
            <w:tcW w:w="119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351</w:t>
            </w:r>
          </w:p>
        </w:tc>
        <w:tc>
          <w:tcPr>
            <w:tcW w:w="1247"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582</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8 066</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553</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477</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1 413</w:t>
            </w:r>
          </w:p>
        </w:tc>
        <w:tc>
          <w:tcPr>
            <w:tcW w:w="1181" w:type="dxa"/>
            <w:tcBorders>
              <w:top w:val="dotted" w:sz="4" w:space="0" w:color="auto"/>
              <w:left w:val="nil"/>
              <w:bottom w:val="dotted" w:sz="4" w:space="0" w:color="auto"/>
              <w:right w:val="single" w:sz="4" w:space="0" w:color="auto"/>
            </w:tcBorders>
            <w:shd w:val="clear" w:color="auto" w:fill="auto"/>
            <w:noWrap/>
            <w:vAlign w:val="center"/>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741</w:t>
            </w:r>
          </w:p>
        </w:tc>
        <w:tc>
          <w:tcPr>
            <w:tcW w:w="1182" w:type="dxa"/>
            <w:tcBorders>
              <w:top w:val="dotted" w:sz="4" w:space="0" w:color="auto"/>
              <w:left w:val="nil"/>
              <w:bottom w:val="dotted" w:sz="4" w:space="0" w:color="auto"/>
              <w:right w:val="single" w:sz="4" w:space="0" w:color="auto"/>
            </w:tcBorders>
            <w:shd w:val="clear" w:color="auto" w:fill="auto"/>
            <w:noWrap/>
            <w:vAlign w:val="center"/>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592</w:t>
            </w:r>
          </w:p>
        </w:tc>
      </w:tr>
      <w:tr w:rsidR="00D92033" w:rsidRPr="00D175B1" w:rsidTr="00403185">
        <w:trPr>
          <w:trHeight w:val="516"/>
        </w:trPr>
        <w:tc>
          <w:tcPr>
            <w:tcW w:w="340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 of tobacco farmers in total agriculture population</w:t>
            </w:r>
          </w:p>
        </w:tc>
        <w:tc>
          <w:tcPr>
            <w:tcW w:w="1190"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0.01%</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0.12%</w:t>
            </w:r>
          </w:p>
        </w:tc>
        <w:tc>
          <w:tcPr>
            <w:tcW w:w="119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6.74%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0.62%</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0.01</w:t>
            </w:r>
            <w:r w:rsidRPr="00D175B1">
              <w:rPr>
                <w:rFonts w:ascii="Calibri" w:eastAsia="Times New Roman" w:hAnsi="Calibri" w:cs="Calibri"/>
                <w:color w:val="000000"/>
                <w:sz w:val="20"/>
                <w:szCs w:val="20"/>
                <w:lang w:eastAsia="en-ZA"/>
              </w:rPr>
              <w:t>%</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0.35%</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0.30%</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0.27%</w:t>
            </w:r>
          </w:p>
        </w:tc>
        <w:tc>
          <w:tcPr>
            <w:tcW w:w="1181" w:type="dxa"/>
            <w:tcBorders>
              <w:top w:val="dotted" w:sz="4" w:space="0" w:color="auto"/>
              <w:left w:val="nil"/>
              <w:bottom w:val="dotted"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0.92%</w:t>
            </w:r>
          </w:p>
        </w:tc>
        <w:tc>
          <w:tcPr>
            <w:tcW w:w="1182" w:type="dxa"/>
            <w:tcBorders>
              <w:top w:val="dotted" w:sz="4" w:space="0" w:color="auto"/>
              <w:left w:val="nil"/>
              <w:bottom w:val="dotted" w:sz="4" w:space="0" w:color="auto"/>
              <w:right w:val="single" w:sz="4" w:space="0" w:color="auto"/>
            </w:tcBorders>
            <w:shd w:val="clear" w:color="auto" w:fill="auto"/>
            <w:noWrap/>
            <w:vAlign w:val="center"/>
            <w:hideMark/>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sidRPr="000907B4">
              <w:rPr>
                <w:rFonts w:ascii="Calibri" w:eastAsia="Times New Roman" w:hAnsi="Calibri" w:cs="Calibri"/>
                <w:b/>
                <w:color w:val="000000"/>
                <w:sz w:val="20"/>
                <w:szCs w:val="20"/>
                <w:lang w:eastAsia="en-ZA"/>
              </w:rPr>
              <w:t>0.58%</w:t>
            </w:r>
          </w:p>
        </w:tc>
      </w:tr>
      <w:tr w:rsidR="00D92033" w:rsidRPr="00D175B1" w:rsidTr="00403185">
        <w:trPr>
          <w:trHeight w:val="516"/>
        </w:trPr>
        <w:tc>
          <w:tcPr>
            <w:tcW w:w="3403"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D92033" w:rsidRPr="0005734E" w:rsidRDefault="00D92033" w:rsidP="00403185">
            <w:pPr>
              <w:spacing w:after="0" w:line="240" w:lineRule="auto"/>
              <w:rPr>
                <w:rFonts w:ascii="Calibri" w:eastAsia="Times New Roman" w:hAnsi="Calibri" w:cs="Calibri"/>
                <w:b/>
                <w:bCs/>
                <w:color w:val="000000"/>
                <w:sz w:val="20"/>
                <w:szCs w:val="20"/>
                <w:lang w:eastAsia="en-ZA"/>
              </w:rPr>
            </w:pPr>
            <w:r w:rsidRPr="0005734E">
              <w:rPr>
                <w:rFonts w:ascii="Calibri" w:eastAsia="Times New Roman" w:hAnsi="Calibri" w:cs="Calibri"/>
                <w:b/>
                <w:bCs/>
                <w:color w:val="000000"/>
                <w:sz w:val="20"/>
                <w:szCs w:val="20"/>
                <w:lang w:eastAsia="en-ZA"/>
              </w:rPr>
              <w:t>% of tobacco farm employment in total agriculture population</w:t>
            </w:r>
          </w:p>
        </w:tc>
        <w:tc>
          <w:tcPr>
            <w:tcW w:w="1190"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0.01%</w:t>
            </w:r>
          </w:p>
        </w:tc>
        <w:tc>
          <w:tcPr>
            <w:tcW w:w="119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0.24%</w:t>
            </w:r>
          </w:p>
        </w:tc>
        <w:tc>
          <w:tcPr>
            <w:tcW w:w="119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12.59%</w:t>
            </w:r>
          </w:p>
        </w:tc>
        <w:tc>
          <w:tcPr>
            <w:tcW w:w="1247"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3.04%</w:t>
            </w:r>
          </w:p>
        </w:tc>
        <w:tc>
          <w:tcPr>
            <w:tcW w:w="118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0.21%</w:t>
            </w:r>
          </w:p>
        </w:tc>
        <w:tc>
          <w:tcPr>
            <w:tcW w:w="118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0.35%</w:t>
            </w:r>
          </w:p>
        </w:tc>
        <w:tc>
          <w:tcPr>
            <w:tcW w:w="1182"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0.60%</w:t>
            </w:r>
          </w:p>
        </w:tc>
        <w:tc>
          <w:tcPr>
            <w:tcW w:w="118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5.33%</w:t>
            </w:r>
          </w:p>
        </w:tc>
        <w:tc>
          <w:tcPr>
            <w:tcW w:w="1181" w:type="dxa"/>
            <w:tcBorders>
              <w:top w:val="dotted" w:sz="4" w:space="0" w:color="auto"/>
              <w:left w:val="nil"/>
              <w:bottom w:val="single" w:sz="4" w:space="0" w:color="auto"/>
              <w:right w:val="single" w:sz="4" w:space="0" w:color="auto"/>
            </w:tcBorders>
            <w:shd w:val="clear" w:color="auto" w:fill="auto"/>
            <w:noWrap/>
            <w:vAlign w:val="center"/>
            <w:hideMark/>
          </w:tcPr>
          <w:p w:rsidR="00D92033" w:rsidRPr="00D175B1" w:rsidRDefault="00D92033" w:rsidP="00403185">
            <w:pPr>
              <w:spacing w:after="0" w:line="240" w:lineRule="auto"/>
              <w:jc w:val="center"/>
              <w:rPr>
                <w:rFonts w:ascii="Calibri" w:eastAsia="Times New Roman" w:hAnsi="Calibri" w:cs="Calibri"/>
                <w:color w:val="000000"/>
                <w:sz w:val="20"/>
                <w:szCs w:val="20"/>
                <w:lang w:eastAsia="en-ZA"/>
              </w:rPr>
            </w:pPr>
            <w:r w:rsidRPr="00D175B1">
              <w:rPr>
                <w:rFonts w:ascii="Calibri" w:eastAsia="Times New Roman" w:hAnsi="Calibri" w:cs="Calibri"/>
                <w:color w:val="000000"/>
                <w:sz w:val="20"/>
                <w:szCs w:val="20"/>
                <w:lang w:eastAsia="en-ZA"/>
              </w:rPr>
              <w:t>15.99%</w:t>
            </w:r>
          </w:p>
        </w:tc>
        <w:tc>
          <w:tcPr>
            <w:tcW w:w="1182" w:type="dxa"/>
            <w:tcBorders>
              <w:top w:val="dotted" w:sz="4" w:space="0" w:color="auto"/>
              <w:left w:val="nil"/>
              <w:bottom w:val="single" w:sz="4" w:space="0" w:color="auto"/>
              <w:right w:val="single" w:sz="4" w:space="0" w:color="auto"/>
            </w:tcBorders>
            <w:shd w:val="clear" w:color="auto" w:fill="auto"/>
            <w:noWrap/>
            <w:vAlign w:val="center"/>
            <w:hideMark/>
          </w:tcPr>
          <w:p w:rsidR="00D92033" w:rsidRPr="000907B4" w:rsidRDefault="00D92033" w:rsidP="00403185">
            <w:pPr>
              <w:spacing w:after="0" w:line="240" w:lineRule="auto"/>
              <w:jc w:val="center"/>
              <w:rPr>
                <w:rFonts w:ascii="Calibri" w:eastAsia="Times New Roman" w:hAnsi="Calibri" w:cs="Calibri"/>
                <w:b/>
                <w:color w:val="000000"/>
                <w:sz w:val="20"/>
                <w:szCs w:val="20"/>
                <w:lang w:eastAsia="en-ZA"/>
              </w:rPr>
            </w:pPr>
            <w:r w:rsidRPr="000907B4">
              <w:rPr>
                <w:rFonts w:ascii="Calibri" w:eastAsia="Times New Roman" w:hAnsi="Calibri" w:cs="Calibri"/>
                <w:b/>
                <w:color w:val="000000"/>
                <w:sz w:val="20"/>
                <w:szCs w:val="20"/>
                <w:lang w:eastAsia="en-ZA"/>
              </w:rPr>
              <w:t>1.92%</w:t>
            </w:r>
          </w:p>
        </w:tc>
      </w:tr>
    </w:tbl>
    <w:p w:rsidR="00D92033" w:rsidRDefault="00D92033" w:rsidP="00D92033">
      <w:pPr>
        <w:pStyle w:val="Caption"/>
        <w:keepNext/>
      </w:pPr>
      <w:r>
        <w:t xml:space="preserve">Table </w:t>
      </w:r>
      <w:r w:rsidR="00D52BD2">
        <w:fldChar w:fldCharType="begin"/>
      </w:r>
      <w:r w:rsidR="00D52BD2">
        <w:instrText xml:space="preserve"> SEQ Table \* ARABIC </w:instrText>
      </w:r>
      <w:r w:rsidR="00D52BD2">
        <w:fldChar w:fldCharType="separate"/>
      </w:r>
      <w:r>
        <w:rPr>
          <w:noProof/>
        </w:rPr>
        <w:t>1</w:t>
      </w:r>
      <w:r w:rsidR="00D52BD2">
        <w:rPr>
          <w:noProof/>
        </w:rPr>
        <w:fldChar w:fldCharType="end"/>
      </w:r>
      <w:r>
        <w:t xml:space="preserve">: Table </w:t>
      </w:r>
      <w:r w:rsidR="00D52BD2">
        <w:fldChar w:fldCharType="begin"/>
      </w:r>
      <w:r w:rsidR="00D52BD2">
        <w:instrText xml:space="preserve"> SEQ Table \* ARABIC </w:instrText>
      </w:r>
      <w:r w:rsidR="00D52BD2">
        <w:fldChar w:fldCharType="separate"/>
      </w:r>
      <w:r>
        <w:rPr>
          <w:noProof/>
        </w:rPr>
        <w:t>1</w:t>
      </w:r>
      <w:r w:rsidR="00D52BD2">
        <w:rPr>
          <w:noProof/>
        </w:rPr>
        <w:fldChar w:fldCharType="end"/>
      </w:r>
      <w:r>
        <w:t>: Total Agriculture Population, number of tobacco farmers, tobacco farm employment, value of production per farmer and GDP per capita in 9 COMESA/SACU/SADC countries</w:t>
      </w:r>
    </w:p>
    <w:p w:rsidR="00D92033" w:rsidRDefault="00D92033" w:rsidP="00D92033">
      <w:pPr>
        <w:rPr>
          <w:i/>
        </w:rPr>
      </w:pPr>
      <w:r w:rsidRPr="000F5A62">
        <w:rPr>
          <w:i/>
        </w:rPr>
        <w:t>Source</w:t>
      </w:r>
      <w:r>
        <w:rPr>
          <w:i/>
        </w:rPr>
        <w:t>s</w:t>
      </w:r>
      <w:r w:rsidRPr="000F5A62">
        <w:rPr>
          <w:i/>
        </w:rPr>
        <w:t xml:space="preserve">: Total Agriculture Population is taken from the Food and Agriculture Organization FAOSTAT available at </w:t>
      </w:r>
      <w:hyperlink r:id="rId9" w:history="1">
        <w:r w:rsidRPr="00490223">
          <w:rPr>
            <w:rStyle w:val="Hyperlink"/>
            <w:i/>
          </w:rPr>
          <w:t>www.faostat.fao.org</w:t>
        </w:r>
      </w:hyperlink>
      <w:r>
        <w:rPr>
          <w:i/>
        </w:rPr>
        <w:t xml:space="preserve">; Number of tobacco farmers, </w:t>
      </w:r>
      <w:r w:rsidRPr="000F5A62">
        <w:rPr>
          <w:i/>
        </w:rPr>
        <w:t>tobacco farm employment</w:t>
      </w:r>
      <w:r>
        <w:rPr>
          <w:i/>
        </w:rPr>
        <w:t>, value of tobacco production</w:t>
      </w:r>
      <w:r w:rsidRPr="000F5A62">
        <w:rPr>
          <w:i/>
        </w:rPr>
        <w:t xml:space="preserve"> taken from the T</w:t>
      </w:r>
      <w:r>
        <w:rPr>
          <w:i/>
        </w:rPr>
        <w:t>ISA study; GDP per capita from the IMF’s World Economic Outlook database</w:t>
      </w:r>
      <w:r w:rsidRPr="000F5A62">
        <w:rPr>
          <w:i/>
        </w:rPr>
        <w:t xml:space="preserve"> </w:t>
      </w:r>
    </w:p>
    <w:p w:rsidR="000F5A62" w:rsidRPr="00D92033" w:rsidRDefault="000F5A62" w:rsidP="00D92033">
      <w:pPr>
        <w:pStyle w:val="Caption"/>
        <w:rPr>
          <w:b w:val="0"/>
        </w:rPr>
      </w:pPr>
    </w:p>
    <w:p w:rsidR="000F5A62" w:rsidRDefault="000F5A62" w:rsidP="000F5A62">
      <w:pPr>
        <w:rPr>
          <w:i/>
        </w:rPr>
      </w:pPr>
    </w:p>
    <w:p w:rsidR="000F5A62" w:rsidRDefault="000F5A62" w:rsidP="000F5A62">
      <w:pPr>
        <w:rPr>
          <w:i/>
        </w:rPr>
      </w:pPr>
    </w:p>
    <w:p w:rsidR="000F5A62" w:rsidRPr="000F5A62" w:rsidRDefault="000F5A62" w:rsidP="000F5A62">
      <w:pPr>
        <w:rPr>
          <w:i/>
        </w:rPr>
        <w:sectPr w:rsidR="000F5A62" w:rsidRPr="000F5A62" w:rsidSect="00D175B1">
          <w:pgSz w:w="16838" w:h="11906" w:orient="landscape"/>
          <w:pgMar w:top="1440" w:right="1440" w:bottom="1440" w:left="1440" w:header="709" w:footer="709" w:gutter="0"/>
          <w:cols w:space="708"/>
          <w:docGrid w:linePitch="360"/>
        </w:sectPr>
      </w:pPr>
    </w:p>
    <w:p w:rsidR="00A02BBA" w:rsidRDefault="00A02BBA" w:rsidP="004B24E2">
      <w:pPr>
        <w:pStyle w:val="ListParagraph"/>
        <w:ind w:left="1080"/>
        <w:jc w:val="both"/>
      </w:pPr>
    </w:p>
    <w:p w:rsidR="005D3D63" w:rsidRDefault="00A02BBA" w:rsidP="005D3D63">
      <w:pPr>
        <w:pStyle w:val="ListParagraph"/>
        <w:numPr>
          <w:ilvl w:val="1"/>
          <w:numId w:val="5"/>
        </w:numPr>
        <w:jc w:val="both"/>
      </w:pPr>
      <w:r>
        <w:t>The study commits a couple of methodological errors in arriving at what it calls the Tobacco Value Chain Total Value</w:t>
      </w:r>
      <w:r w:rsidR="009F2E3D">
        <w:t xml:space="preserve"> (TVCTV)</w:t>
      </w:r>
      <w:r>
        <w:t xml:space="preserve"> for the 15 countries considered. As stated earlier, the value of this amount is estimated at USD10 billion. </w:t>
      </w:r>
      <w:r w:rsidR="009F2E3D">
        <w:t>A footnote defines this number as the summation of the value of raw tobacco production, value of total exports, value of total imports and taxes paid</w:t>
      </w:r>
      <w:r w:rsidR="000F2EE7">
        <w:t>. In adding all these numbers together, the authors are either guil</w:t>
      </w:r>
      <w:r w:rsidR="005D3D63">
        <w:t>ty of double counting</w:t>
      </w:r>
      <w:r w:rsidR="00C52873">
        <w:t xml:space="preserve"> or adding “apples” to “oranges”</w:t>
      </w:r>
      <w:r w:rsidR="00D17C57">
        <w:t xml:space="preserve">. </w:t>
      </w:r>
      <w:r w:rsidR="000F2EE7">
        <w:t>For instance</w:t>
      </w:r>
      <w:r w:rsidR="005D3D63">
        <w:t>,</w:t>
      </w:r>
      <w:r w:rsidR="000F2EE7">
        <w:t xml:space="preserve"> adding production value at the farm gate to tobacco </w:t>
      </w:r>
      <w:r w:rsidR="006C39F3">
        <w:t xml:space="preserve">exports of the </w:t>
      </w:r>
      <w:r w:rsidR="006C39F3" w:rsidRPr="001764D3">
        <w:rPr>
          <w:i/>
        </w:rPr>
        <w:t>same</w:t>
      </w:r>
      <w:r w:rsidR="006C39F3">
        <w:t xml:space="preserve"> output is double counting. An example:</w:t>
      </w:r>
      <w:r w:rsidR="006C39F3" w:rsidRPr="006C39F3">
        <w:t xml:space="preserve"> </w:t>
      </w:r>
      <w:r w:rsidR="006C39F3">
        <w:t>if farm output is valued at $10mn and a merchant buys this output from a farmer at $10mn and exports it for $15mn, then it is not really the case that the economy is better off by a full $25mn. But this is exactly what the study does. Further, it is not really clear that imports should enter positively when computing total value (impor</w:t>
      </w:r>
      <w:r w:rsidR="001B751C">
        <w:t>ts are purchased from foreign producers</w:t>
      </w:r>
      <w:r w:rsidR="006C39F3">
        <w:t>). In addition, Kenya’s exports are Zambia’s imports</w:t>
      </w:r>
      <w:r w:rsidR="00AB111E">
        <w:t xml:space="preserve"> </w:t>
      </w:r>
      <w:r w:rsidR="001764D3">
        <w:t>and</w:t>
      </w:r>
      <w:r w:rsidR="00AB111E">
        <w:t xml:space="preserve"> one</w:t>
      </w:r>
      <w:r w:rsidR="00E03696">
        <w:t xml:space="preserve"> is double counting when adding up these figures</w:t>
      </w:r>
      <w:r w:rsidR="005D3D63">
        <w:t>. It is quite clear that the s</w:t>
      </w:r>
      <w:r w:rsidR="001764D3">
        <w:t>tudy added</w:t>
      </w:r>
      <w:r w:rsidR="00AB111E">
        <w:t xml:space="preserve"> all</w:t>
      </w:r>
      <w:r w:rsidR="001764D3">
        <w:t xml:space="preserve"> these items together to obtain the Tobacco Value Chain Total Value</w:t>
      </w:r>
      <w:r w:rsidR="005D3D63">
        <w:t xml:space="preserve"> (refer to the table on page 1 of the TISA study). </w:t>
      </w:r>
      <w:r w:rsidR="006C39F3">
        <w:t xml:space="preserve"> </w:t>
      </w:r>
      <w:r w:rsidR="001764D3">
        <w:t xml:space="preserve">The </w:t>
      </w:r>
      <w:r w:rsidR="005D3D63">
        <w:t>USD10 billion</w:t>
      </w:r>
      <w:r w:rsidR="00AB111E">
        <w:t xml:space="preserve"> estimat</w:t>
      </w:r>
      <w:r w:rsidR="00213AD4">
        <w:t>e</w:t>
      </w:r>
      <w:r w:rsidR="003F5B4A">
        <w:t xml:space="preserve"> is likely to have been overstated</w:t>
      </w:r>
      <w:r w:rsidR="001764D3">
        <w:t xml:space="preserve">. </w:t>
      </w:r>
    </w:p>
    <w:p w:rsidR="005D3D63" w:rsidRDefault="005D3D63" w:rsidP="005D3D63">
      <w:pPr>
        <w:pStyle w:val="ListParagraph"/>
        <w:ind w:left="1080"/>
        <w:jc w:val="both"/>
      </w:pPr>
    </w:p>
    <w:p w:rsidR="005D3D63" w:rsidRDefault="005D3D63" w:rsidP="005D3D63">
      <w:pPr>
        <w:pStyle w:val="ListParagraph"/>
        <w:ind w:left="1080"/>
        <w:jc w:val="both"/>
      </w:pPr>
      <w:r>
        <w:t>Furt</w:t>
      </w:r>
      <w:r w:rsidR="00B00DB2">
        <w:t>her, tobacco tax revenues are not at risk of</w:t>
      </w:r>
      <w:r w:rsidR="005A342A">
        <w:t xml:space="preserve"> declining (or disappearing)</w:t>
      </w:r>
      <w:r w:rsidR="00B00DB2">
        <w:t xml:space="preserve"> as countries try to reduce tobacco consumption through tax measures. The consensus in the economics lit</w:t>
      </w:r>
      <w:r w:rsidR="00094161">
        <w:t>erature is that tobacco is</w:t>
      </w:r>
      <w:r w:rsidR="00B00DB2">
        <w:t xml:space="preserve"> price inelastic in the sense that demand reduces less than proportionately to an increase in price. Therefore, excise</w:t>
      </w:r>
      <w:r w:rsidR="005A342A">
        <w:t xml:space="preserve"> tax</w:t>
      </w:r>
      <w:r w:rsidR="00B00DB2">
        <w:t xml:space="preserve"> hikes can only serve to increase the revenue collected by governments from tobacco</w:t>
      </w:r>
      <w:r w:rsidR="00B00DB2">
        <w:rPr>
          <w:rStyle w:val="FootnoteReference"/>
        </w:rPr>
        <w:footnoteReference w:id="10"/>
      </w:r>
      <w:r w:rsidR="00B00DB2">
        <w:t>. Stated this way, the USD5.6 billion</w:t>
      </w:r>
      <w:r w:rsidR="00CC2E58">
        <w:t xml:space="preserve"> excise revenue</w:t>
      </w:r>
      <w:r w:rsidR="00B00DB2">
        <w:t xml:space="preserve"> reported in the TISA study can only grow with an increase in tobacco taxes.   </w:t>
      </w:r>
    </w:p>
    <w:p w:rsidR="00D10F10" w:rsidRDefault="00D10F10" w:rsidP="005D3D63">
      <w:pPr>
        <w:pStyle w:val="ListParagraph"/>
        <w:ind w:left="1080"/>
        <w:jc w:val="both"/>
      </w:pPr>
    </w:p>
    <w:p w:rsidR="00D10F10" w:rsidRDefault="00D10F10" w:rsidP="00D10F10">
      <w:pPr>
        <w:pStyle w:val="ListParagraph"/>
        <w:numPr>
          <w:ilvl w:val="1"/>
          <w:numId w:val="5"/>
        </w:numPr>
        <w:jc w:val="both"/>
      </w:pPr>
      <w:r>
        <w:t>It seems that the study has correctly reported the usual macro variables (i.e. percent of Agricultural GDP due to tobacco, area under cultivation, production in tonnes, value of exports, imports etc…), if only because these statistics are easier to cross-check a</w:t>
      </w:r>
      <w:r w:rsidR="00401569">
        <w:t>gainst reputable on-line databases.</w:t>
      </w:r>
      <w:r>
        <w:t xml:space="preserve"> But the fallacy is in the way these figures are added togethe</w:t>
      </w:r>
      <w:r w:rsidR="00C0128F">
        <w:t xml:space="preserve">r in quantifying the value chain </w:t>
      </w:r>
      <w:r>
        <w:t xml:space="preserve">(see point </w:t>
      </w:r>
      <w:r w:rsidR="00507151">
        <w:t>2.4 above</w:t>
      </w:r>
      <w:r>
        <w:t xml:space="preserve">). </w:t>
      </w:r>
    </w:p>
    <w:p w:rsidR="005510FA" w:rsidRDefault="005510FA" w:rsidP="005510FA">
      <w:pPr>
        <w:jc w:val="both"/>
      </w:pPr>
    </w:p>
    <w:p w:rsidR="005510FA" w:rsidRPr="005510FA" w:rsidRDefault="005510FA" w:rsidP="005510FA">
      <w:pPr>
        <w:pStyle w:val="ListParagraph"/>
        <w:numPr>
          <w:ilvl w:val="0"/>
          <w:numId w:val="5"/>
        </w:numPr>
        <w:jc w:val="both"/>
        <w:rPr>
          <w:b/>
        </w:rPr>
      </w:pPr>
      <w:r w:rsidRPr="005510FA">
        <w:rPr>
          <w:b/>
        </w:rPr>
        <w:t>Conclusion</w:t>
      </w:r>
    </w:p>
    <w:p w:rsidR="005510FA" w:rsidRPr="007079AC" w:rsidRDefault="003F5B4A" w:rsidP="005510FA">
      <w:pPr>
        <w:pStyle w:val="ListParagraph"/>
        <w:ind w:left="360"/>
        <w:jc w:val="both"/>
      </w:pPr>
      <w:r>
        <w:t>This short write-up has highlighted</w:t>
      </w:r>
      <w:r w:rsidR="005510FA">
        <w:t xml:space="preserve"> some of the methodological shortcomings in the TISA study released at the end of October 2012. </w:t>
      </w:r>
      <w:r w:rsidR="0054006B">
        <w:t>Further, using the TISA study’s</w:t>
      </w:r>
      <w:r w:rsidR="009C266B">
        <w:t xml:space="preserve"> own-estimates, I have s</w:t>
      </w:r>
      <w:r w:rsidR="0054006B">
        <w:t>hown that the tobacco farming sector is not as</w:t>
      </w:r>
      <w:r w:rsidR="009C266B">
        <w:t xml:space="preserve"> important from both an agricultural employment and i</w:t>
      </w:r>
      <w:r w:rsidR="0054006B">
        <w:t>ncome perspective as the study makes it out to be</w:t>
      </w:r>
      <w:r w:rsidR="009C266B">
        <w:t xml:space="preserve">. </w:t>
      </w:r>
      <w:r w:rsidR="0054006B">
        <w:t>In addition, t</w:t>
      </w:r>
      <w:r w:rsidR="009C266B">
        <w:t xml:space="preserve">he value ascribed to the tobacco value chain is likely to have been overstated if one accounts for double counting. </w:t>
      </w:r>
    </w:p>
    <w:p w:rsidR="00D10F10" w:rsidRDefault="00D10F10" w:rsidP="00D10F10">
      <w:pPr>
        <w:pStyle w:val="ListParagraph"/>
        <w:ind w:left="1080"/>
        <w:jc w:val="both"/>
      </w:pPr>
    </w:p>
    <w:p w:rsidR="005D3D63" w:rsidRDefault="005D3D63" w:rsidP="005D3D63">
      <w:pPr>
        <w:pStyle w:val="ListParagraph"/>
        <w:ind w:left="1080"/>
        <w:jc w:val="both"/>
      </w:pPr>
    </w:p>
    <w:p w:rsidR="00542FF3" w:rsidRDefault="00542FF3" w:rsidP="00542FF3">
      <w:pPr>
        <w:jc w:val="both"/>
      </w:pPr>
    </w:p>
    <w:p w:rsidR="00542FF3" w:rsidRDefault="00542FF3" w:rsidP="00542FF3">
      <w:pPr>
        <w:jc w:val="both"/>
      </w:pPr>
    </w:p>
    <w:p w:rsidR="00542FF3" w:rsidRDefault="00542FF3" w:rsidP="00542FF3">
      <w:pPr>
        <w:jc w:val="both"/>
      </w:pPr>
    </w:p>
    <w:p w:rsidR="00542FF3" w:rsidRDefault="00542FF3" w:rsidP="00542FF3">
      <w:pPr>
        <w:jc w:val="both"/>
      </w:pPr>
    </w:p>
    <w:p w:rsidR="00542FF3" w:rsidRDefault="00542FF3" w:rsidP="00542FF3">
      <w:pPr>
        <w:jc w:val="both"/>
      </w:pPr>
    </w:p>
    <w:p w:rsidR="00542FF3" w:rsidRDefault="00542FF3" w:rsidP="00542FF3">
      <w:pPr>
        <w:jc w:val="both"/>
      </w:pPr>
    </w:p>
    <w:p w:rsidR="00542FF3" w:rsidRDefault="00542FF3" w:rsidP="00542FF3">
      <w:pPr>
        <w:jc w:val="both"/>
      </w:pPr>
    </w:p>
    <w:sectPr w:rsidR="00542FF3" w:rsidSect="00D736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D2" w:rsidRDefault="00D52BD2" w:rsidP="00D74632">
      <w:pPr>
        <w:spacing w:after="0" w:line="240" w:lineRule="auto"/>
      </w:pPr>
      <w:r>
        <w:separator/>
      </w:r>
    </w:p>
  </w:endnote>
  <w:endnote w:type="continuationSeparator" w:id="0">
    <w:p w:rsidR="00D52BD2" w:rsidRDefault="00D52BD2" w:rsidP="00D7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D2" w:rsidRDefault="00D52BD2" w:rsidP="00D74632">
      <w:pPr>
        <w:spacing w:after="0" w:line="240" w:lineRule="auto"/>
      </w:pPr>
      <w:r>
        <w:separator/>
      </w:r>
    </w:p>
  </w:footnote>
  <w:footnote w:type="continuationSeparator" w:id="0">
    <w:p w:rsidR="00D52BD2" w:rsidRDefault="00D52BD2" w:rsidP="00D74632">
      <w:pPr>
        <w:spacing w:after="0" w:line="240" w:lineRule="auto"/>
      </w:pPr>
      <w:r>
        <w:continuationSeparator/>
      </w:r>
    </w:p>
  </w:footnote>
  <w:footnote w:id="1">
    <w:p w:rsidR="00BE269D" w:rsidRDefault="00BE269D">
      <w:pPr>
        <w:pStyle w:val="FootnoteText"/>
      </w:pPr>
      <w:r>
        <w:rPr>
          <w:rStyle w:val="FootnoteReference"/>
        </w:rPr>
        <w:footnoteRef/>
      </w:r>
      <w:r>
        <w:t xml:space="preserve"> The author is</w:t>
      </w:r>
      <w:r w:rsidR="0007556F">
        <w:t xml:space="preserve"> a PhD student in Economics at t</w:t>
      </w:r>
      <w:r>
        <w:t>he University of Cape Town current</w:t>
      </w:r>
      <w:r w:rsidR="0007556F">
        <w:t>ly writing his dissertation on t</w:t>
      </w:r>
      <w:r>
        <w:t xml:space="preserve">he Economics of Tobacco Control in Zambia. He can be reached at </w:t>
      </w:r>
      <w:hyperlink r:id="rId1" w:history="1">
        <w:r w:rsidRPr="007F58E9">
          <w:rPr>
            <w:rStyle w:val="Hyperlink"/>
          </w:rPr>
          <w:t>grievechelwa@gmail.com</w:t>
        </w:r>
      </w:hyperlink>
      <w:r w:rsidR="009F3A87">
        <w:t>. He is grateful to</w:t>
      </w:r>
      <w:r w:rsidR="00151290">
        <w:t xml:space="preserve"> Corn</w:t>
      </w:r>
      <w:r w:rsidR="00151290">
        <w:rPr>
          <w:rFonts w:cstheme="minorHAnsi"/>
        </w:rPr>
        <w:t>é</w:t>
      </w:r>
      <w:r>
        <w:t xml:space="preserve"> van Walbeek</w:t>
      </w:r>
      <w:r w:rsidR="0007556F">
        <w:t>, Nicole Vellios, Peter Ucko, Hana Ross and Yussuf Saloojee</w:t>
      </w:r>
      <w:r w:rsidR="009F3A87">
        <w:t xml:space="preserve"> for providing comments on earlier versions of the document</w:t>
      </w:r>
      <w:r>
        <w:t xml:space="preserve">. </w:t>
      </w:r>
    </w:p>
  </w:footnote>
  <w:footnote w:id="2">
    <w:p w:rsidR="00181F7D" w:rsidRPr="001156DD" w:rsidRDefault="00181F7D" w:rsidP="00181F7D">
      <w:pPr>
        <w:pStyle w:val="FootnoteText"/>
      </w:pPr>
      <w:r>
        <w:rPr>
          <w:rStyle w:val="FootnoteReference"/>
        </w:rPr>
        <w:footnoteRef/>
      </w:r>
      <w:r>
        <w:t xml:space="preserve"> </w:t>
      </w:r>
      <w:r w:rsidRPr="001156DD">
        <w:t xml:space="preserve">The study can be downloaded here: </w:t>
      </w:r>
      <w:hyperlink r:id="rId2" w:history="1">
        <w:r w:rsidRPr="001156DD">
          <w:rPr>
            <w:color w:val="0000FF"/>
            <w:u w:val="single"/>
          </w:rPr>
          <w:t>http://www.tobaccosa.co.za/docs/NKC-Tobacco_Value_Chain_Report-October_2012.pdf</w:t>
        </w:r>
      </w:hyperlink>
      <w:r>
        <w:t xml:space="preserve">. The countries covered are Angola, Botswana, Egypt, Ethiopia, Kenya, Lesotho, Malawi, Mozambique, Namibia, South Africa, Swaziland, Tanzania, Uganda, Zambia and Zimbabwe. </w:t>
      </w:r>
    </w:p>
    <w:p w:rsidR="00181F7D" w:rsidRDefault="00181F7D">
      <w:pPr>
        <w:pStyle w:val="FootnoteText"/>
      </w:pPr>
    </w:p>
  </w:footnote>
  <w:footnote w:id="3">
    <w:p w:rsidR="003C53A8" w:rsidRDefault="003C53A8">
      <w:pPr>
        <w:pStyle w:val="FootnoteText"/>
      </w:pPr>
      <w:r>
        <w:rPr>
          <w:rStyle w:val="FootnoteReference"/>
        </w:rPr>
        <w:footnoteRef/>
      </w:r>
      <w:r>
        <w:t xml:space="preserve"> Warner, K, 2000. The economics of tobacco: myths and realities. Tobacco Control, volume 9: 78-89. </w:t>
      </w:r>
    </w:p>
  </w:footnote>
  <w:footnote w:id="4">
    <w:p w:rsidR="00BB4E3B" w:rsidRDefault="00BB4E3B" w:rsidP="00BB4E3B">
      <w:pPr>
        <w:pStyle w:val="FootnoteText"/>
      </w:pPr>
      <w:r>
        <w:rPr>
          <w:rStyle w:val="FootnoteReference"/>
        </w:rPr>
        <w:footnoteRef/>
      </w:r>
      <w:r>
        <w:t xml:space="preserve"> BLNS refers to Botswana, Lesotho, Namibia and Swaziland. These countries are often grouped together in this way in most studies because of their small population sizes and degree of similarity. </w:t>
      </w:r>
    </w:p>
  </w:footnote>
  <w:footnote w:id="5">
    <w:p w:rsidR="00BB4E3B" w:rsidRDefault="00BB4E3B" w:rsidP="00BB4E3B">
      <w:pPr>
        <w:pStyle w:val="FootnoteText"/>
      </w:pPr>
      <w:r>
        <w:rPr>
          <w:rStyle w:val="FootnoteReference"/>
        </w:rPr>
        <w:footnoteRef/>
      </w:r>
      <w:r>
        <w:t xml:space="preserve"> </w:t>
      </w:r>
      <w:hyperlink r:id="rId3" w:history="1">
        <w:r w:rsidRPr="00490223">
          <w:rPr>
            <w:rStyle w:val="Hyperlink"/>
            <w:i/>
          </w:rPr>
          <w:t>www.faostat.fao.org</w:t>
        </w:r>
      </w:hyperlink>
    </w:p>
  </w:footnote>
  <w:footnote w:id="6">
    <w:p w:rsidR="00BB4E3B" w:rsidRDefault="00BB4E3B" w:rsidP="00BB4E3B">
      <w:pPr>
        <w:pStyle w:val="FootnoteText"/>
      </w:pPr>
      <w:r>
        <w:rPr>
          <w:rStyle w:val="FootnoteReference"/>
        </w:rPr>
        <w:footnoteRef/>
      </w:r>
      <w:r>
        <w:t xml:space="preserve"> These percentages are obtained by adding together the number of small-scale farmers with the number of tobacco farm employees and dividing the resulting sum by total agricultural employment. </w:t>
      </w:r>
    </w:p>
  </w:footnote>
  <w:footnote w:id="7">
    <w:p w:rsidR="00BB4E3B" w:rsidRDefault="00BB4E3B" w:rsidP="00BB4E3B">
      <w:pPr>
        <w:pStyle w:val="FootnoteText"/>
      </w:pPr>
      <w:r>
        <w:rPr>
          <w:rStyle w:val="FootnoteReference"/>
        </w:rPr>
        <w:footnoteRef/>
      </w:r>
      <w:r>
        <w:t xml:space="preserve"> Obtained by dividing the total value of tobacco productio</w:t>
      </w:r>
      <w:r w:rsidR="00C4668B">
        <w:t xml:space="preserve">n </w:t>
      </w:r>
      <w:r>
        <w:t>by</w:t>
      </w:r>
      <w:r w:rsidR="00241600">
        <w:t xml:space="preserve"> the</w:t>
      </w:r>
      <w:r>
        <w:t xml:space="preserve"> total number of people reliant on tobacco for their livelihoods (farmers, employ</w:t>
      </w:r>
      <w:r w:rsidR="00C4668B">
        <w:t>ees and</w:t>
      </w:r>
      <w:r>
        <w:t xml:space="preserve"> dependents</w:t>
      </w:r>
      <w:r w:rsidR="00C4668B">
        <w:t>). All numbers taken from the TISA study.</w:t>
      </w:r>
      <w:r>
        <w:t xml:space="preserve"> </w:t>
      </w:r>
    </w:p>
  </w:footnote>
  <w:footnote w:id="8">
    <w:p w:rsidR="00BB4E3B" w:rsidRDefault="00BB4E3B" w:rsidP="00BB4E3B">
      <w:pPr>
        <w:pStyle w:val="FootnoteText"/>
      </w:pPr>
      <w:r>
        <w:rPr>
          <w:rStyle w:val="FootnoteReference"/>
        </w:rPr>
        <w:footnoteRef/>
      </w:r>
      <w:r>
        <w:t xml:space="preserve"> See footnote 3 for the full reference to Warner (2000). </w:t>
      </w:r>
    </w:p>
  </w:footnote>
  <w:footnote w:id="9">
    <w:p w:rsidR="00D92033" w:rsidRDefault="00D92033" w:rsidP="00D92033">
      <w:pPr>
        <w:pStyle w:val="FootnoteText"/>
      </w:pPr>
      <w:r>
        <w:rPr>
          <w:rStyle w:val="FootnoteReference"/>
        </w:rPr>
        <w:footnoteRef/>
      </w:r>
      <w:r>
        <w:t xml:space="preserve"> The GDP per capita and tobacco production values are both in 2011 prices and can therefore be compared against each other. </w:t>
      </w:r>
    </w:p>
  </w:footnote>
  <w:footnote w:id="10">
    <w:p w:rsidR="00B00DB2" w:rsidRPr="00B00DB2" w:rsidRDefault="00B00DB2" w:rsidP="00B00DB2">
      <w:pPr>
        <w:jc w:val="both"/>
        <w:rPr>
          <w:sz w:val="20"/>
          <w:szCs w:val="20"/>
        </w:rPr>
      </w:pPr>
      <w:r>
        <w:rPr>
          <w:rStyle w:val="FootnoteReference"/>
        </w:rPr>
        <w:footnoteRef/>
      </w:r>
      <w:r>
        <w:t xml:space="preserve"> </w:t>
      </w:r>
      <w:r w:rsidRPr="00B00DB2">
        <w:rPr>
          <w:sz w:val="20"/>
          <w:szCs w:val="20"/>
        </w:rPr>
        <w:t>See Van Walbeek, C, 2010. A simulation model to predict the fiscal and public health impact of a change in cigarette taxes.</w:t>
      </w:r>
      <w:r w:rsidR="00210B6F">
        <w:rPr>
          <w:sz w:val="20"/>
          <w:szCs w:val="20"/>
        </w:rPr>
        <w:t xml:space="preserve"> Tobacco Control,</w:t>
      </w:r>
      <w:r w:rsidRPr="00B00DB2">
        <w:rPr>
          <w:sz w:val="20"/>
          <w:szCs w:val="20"/>
        </w:rPr>
        <w:t xml:space="preserve"> 19: 31 – 36 </w:t>
      </w:r>
    </w:p>
    <w:p w:rsidR="00B00DB2" w:rsidRDefault="00B00DB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EC9"/>
    <w:multiLevelType w:val="multilevel"/>
    <w:tmpl w:val="39E20A9C"/>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DA5F31"/>
    <w:multiLevelType w:val="multilevel"/>
    <w:tmpl w:val="51883A14"/>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nsid w:val="1DB97A5D"/>
    <w:multiLevelType w:val="multilevel"/>
    <w:tmpl w:val="3D9253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1BE0B9A"/>
    <w:multiLevelType w:val="hybridMultilevel"/>
    <w:tmpl w:val="5F3A9962"/>
    <w:lvl w:ilvl="0" w:tplc="E24280AA">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C467EE8"/>
    <w:multiLevelType w:val="hybridMultilevel"/>
    <w:tmpl w:val="9B6AC3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1CB3F60"/>
    <w:multiLevelType w:val="multilevel"/>
    <w:tmpl w:val="23A61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AC"/>
    <w:rsid w:val="000070F8"/>
    <w:rsid w:val="00014052"/>
    <w:rsid w:val="00030493"/>
    <w:rsid w:val="00035278"/>
    <w:rsid w:val="0007556F"/>
    <w:rsid w:val="00083EFD"/>
    <w:rsid w:val="00086810"/>
    <w:rsid w:val="000907B4"/>
    <w:rsid w:val="00094161"/>
    <w:rsid w:val="000A0C91"/>
    <w:rsid w:val="000A0DDA"/>
    <w:rsid w:val="000B4772"/>
    <w:rsid w:val="000C3F71"/>
    <w:rsid w:val="000D6312"/>
    <w:rsid w:val="000E36A9"/>
    <w:rsid w:val="000E6616"/>
    <w:rsid w:val="000F2EE7"/>
    <w:rsid w:val="000F5A62"/>
    <w:rsid w:val="00111562"/>
    <w:rsid w:val="001156DD"/>
    <w:rsid w:val="0013183D"/>
    <w:rsid w:val="00136982"/>
    <w:rsid w:val="00151290"/>
    <w:rsid w:val="001656BC"/>
    <w:rsid w:val="001764D3"/>
    <w:rsid w:val="00181F7D"/>
    <w:rsid w:val="001A3D5C"/>
    <w:rsid w:val="001B751C"/>
    <w:rsid w:val="001F440F"/>
    <w:rsid w:val="002023E1"/>
    <w:rsid w:val="0021073E"/>
    <w:rsid w:val="00210B6F"/>
    <w:rsid w:val="00213AD4"/>
    <w:rsid w:val="00215F82"/>
    <w:rsid w:val="0022713B"/>
    <w:rsid w:val="00241600"/>
    <w:rsid w:val="00256322"/>
    <w:rsid w:val="00270309"/>
    <w:rsid w:val="00272A6F"/>
    <w:rsid w:val="00286479"/>
    <w:rsid w:val="0029797E"/>
    <w:rsid w:val="002A506C"/>
    <w:rsid w:val="002A743A"/>
    <w:rsid w:val="002B4196"/>
    <w:rsid w:val="002C1DEB"/>
    <w:rsid w:val="002E1258"/>
    <w:rsid w:val="0031102F"/>
    <w:rsid w:val="00312870"/>
    <w:rsid w:val="003216BE"/>
    <w:rsid w:val="003715E5"/>
    <w:rsid w:val="003772C3"/>
    <w:rsid w:val="003833E8"/>
    <w:rsid w:val="003C53A8"/>
    <w:rsid w:val="003E0390"/>
    <w:rsid w:val="003F2E3B"/>
    <w:rsid w:val="003F5B4A"/>
    <w:rsid w:val="00401569"/>
    <w:rsid w:val="0041133D"/>
    <w:rsid w:val="004141F3"/>
    <w:rsid w:val="004237E2"/>
    <w:rsid w:val="00460578"/>
    <w:rsid w:val="00464874"/>
    <w:rsid w:val="00494408"/>
    <w:rsid w:val="004A51BD"/>
    <w:rsid w:val="004A57A9"/>
    <w:rsid w:val="004B24E2"/>
    <w:rsid w:val="004B67BD"/>
    <w:rsid w:val="004D2D04"/>
    <w:rsid w:val="00507151"/>
    <w:rsid w:val="005167AE"/>
    <w:rsid w:val="00527885"/>
    <w:rsid w:val="0054006B"/>
    <w:rsid w:val="00542FF3"/>
    <w:rsid w:val="005510FA"/>
    <w:rsid w:val="00564BF2"/>
    <w:rsid w:val="00567D1D"/>
    <w:rsid w:val="005973B1"/>
    <w:rsid w:val="005A25D6"/>
    <w:rsid w:val="005A342A"/>
    <w:rsid w:val="005A694D"/>
    <w:rsid w:val="005A731F"/>
    <w:rsid w:val="005C4BED"/>
    <w:rsid w:val="005D3D63"/>
    <w:rsid w:val="00600CD1"/>
    <w:rsid w:val="00604AF9"/>
    <w:rsid w:val="0063461C"/>
    <w:rsid w:val="006375EB"/>
    <w:rsid w:val="00647539"/>
    <w:rsid w:val="00650755"/>
    <w:rsid w:val="00652B92"/>
    <w:rsid w:val="00653719"/>
    <w:rsid w:val="006A62DA"/>
    <w:rsid w:val="006C39F3"/>
    <w:rsid w:val="006F76FD"/>
    <w:rsid w:val="007079AC"/>
    <w:rsid w:val="00716D3E"/>
    <w:rsid w:val="00733437"/>
    <w:rsid w:val="007730CE"/>
    <w:rsid w:val="00791B7F"/>
    <w:rsid w:val="007945BE"/>
    <w:rsid w:val="00796675"/>
    <w:rsid w:val="007A4394"/>
    <w:rsid w:val="007E4626"/>
    <w:rsid w:val="00832275"/>
    <w:rsid w:val="00833F20"/>
    <w:rsid w:val="0083687A"/>
    <w:rsid w:val="0085690E"/>
    <w:rsid w:val="00882ABD"/>
    <w:rsid w:val="00886487"/>
    <w:rsid w:val="008955CC"/>
    <w:rsid w:val="008D439F"/>
    <w:rsid w:val="008E3FBB"/>
    <w:rsid w:val="00906D93"/>
    <w:rsid w:val="00911AF1"/>
    <w:rsid w:val="00913266"/>
    <w:rsid w:val="00936DEA"/>
    <w:rsid w:val="00955B9E"/>
    <w:rsid w:val="00961B25"/>
    <w:rsid w:val="00983252"/>
    <w:rsid w:val="009A38E6"/>
    <w:rsid w:val="009B7749"/>
    <w:rsid w:val="009C266B"/>
    <w:rsid w:val="009D2F6F"/>
    <w:rsid w:val="009D494C"/>
    <w:rsid w:val="009F2E3D"/>
    <w:rsid w:val="009F3A87"/>
    <w:rsid w:val="009F4FEB"/>
    <w:rsid w:val="00A02BBA"/>
    <w:rsid w:val="00A335F3"/>
    <w:rsid w:val="00A35A5E"/>
    <w:rsid w:val="00A56A99"/>
    <w:rsid w:val="00A57B0C"/>
    <w:rsid w:val="00A775FC"/>
    <w:rsid w:val="00A833B6"/>
    <w:rsid w:val="00AA2365"/>
    <w:rsid w:val="00AB111E"/>
    <w:rsid w:val="00AD5C46"/>
    <w:rsid w:val="00AE0793"/>
    <w:rsid w:val="00AE71ED"/>
    <w:rsid w:val="00AF288B"/>
    <w:rsid w:val="00B00DB2"/>
    <w:rsid w:val="00B03CD2"/>
    <w:rsid w:val="00B252A2"/>
    <w:rsid w:val="00B403A8"/>
    <w:rsid w:val="00B52783"/>
    <w:rsid w:val="00B955FA"/>
    <w:rsid w:val="00BA66FC"/>
    <w:rsid w:val="00BA681D"/>
    <w:rsid w:val="00BB1AA7"/>
    <w:rsid w:val="00BB4E3B"/>
    <w:rsid w:val="00BC0983"/>
    <w:rsid w:val="00BD2411"/>
    <w:rsid w:val="00BE1252"/>
    <w:rsid w:val="00BE269D"/>
    <w:rsid w:val="00C0128F"/>
    <w:rsid w:val="00C02FA8"/>
    <w:rsid w:val="00C329D0"/>
    <w:rsid w:val="00C4668B"/>
    <w:rsid w:val="00C52873"/>
    <w:rsid w:val="00C65BA8"/>
    <w:rsid w:val="00C75585"/>
    <w:rsid w:val="00C9196B"/>
    <w:rsid w:val="00C9744C"/>
    <w:rsid w:val="00CA21FA"/>
    <w:rsid w:val="00CB36EC"/>
    <w:rsid w:val="00CC2E58"/>
    <w:rsid w:val="00CD32D6"/>
    <w:rsid w:val="00CD5D30"/>
    <w:rsid w:val="00D10F10"/>
    <w:rsid w:val="00D175B1"/>
    <w:rsid w:val="00D17C57"/>
    <w:rsid w:val="00D463A3"/>
    <w:rsid w:val="00D52BD2"/>
    <w:rsid w:val="00D73645"/>
    <w:rsid w:val="00D74632"/>
    <w:rsid w:val="00D92033"/>
    <w:rsid w:val="00E03696"/>
    <w:rsid w:val="00E13C28"/>
    <w:rsid w:val="00E23C78"/>
    <w:rsid w:val="00E276F0"/>
    <w:rsid w:val="00E33F9B"/>
    <w:rsid w:val="00E37223"/>
    <w:rsid w:val="00E717EE"/>
    <w:rsid w:val="00E75961"/>
    <w:rsid w:val="00EA458B"/>
    <w:rsid w:val="00EA6A37"/>
    <w:rsid w:val="00EC2A07"/>
    <w:rsid w:val="00EE0048"/>
    <w:rsid w:val="00EF29A5"/>
    <w:rsid w:val="00EF2A0C"/>
    <w:rsid w:val="00F006AB"/>
    <w:rsid w:val="00F24536"/>
    <w:rsid w:val="00F3135F"/>
    <w:rsid w:val="00F51416"/>
    <w:rsid w:val="00F6781F"/>
    <w:rsid w:val="00F90BDB"/>
    <w:rsid w:val="00F9723F"/>
    <w:rsid w:val="00FA22B7"/>
    <w:rsid w:val="00FA33D0"/>
    <w:rsid w:val="00FA480D"/>
    <w:rsid w:val="00FA6E4F"/>
    <w:rsid w:val="00FF1F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3B1"/>
    <w:pPr>
      <w:ind w:left="720"/>
      <w:contextualSpacing/>
    </w:pPr>
  </w:style>
  <w:style w:type="paragraph" w:styleId="FootnoteText">
    <w:name w:val="footnote text"/>
    <w:basedOn w:val="Normal"/>
    <w:link w:val="FootnoteTextChar"/>
    <w:uiPriority w:val="99"/>
    <w:unhideWhenUsed/>
    <w:rsid w:val="00D74632"/>
    <w:pPr>
      <w:spacing w:after="0" w:line="240" w:lineRule="auto"/>
    </w:pPr>
    <w:rPr>
      <w:sz w:val="20"/>
      <w:szCs w:val="20"/>
    </w:rPr>
  </w:style>
  <w:style w:type="character" w:customStyle="1" w:styleId="FootnoteTextChar">
    <w:name w:val="Footnote Text Char"/>
    <w:basedOn w:val="DefaultParagraphFont"/>
    <w:link w:val="FootnoteText"/>
    <w:uiPriority w:val="99"/>
    <w:rsid w:val="00D74632"/>
    <w:rPr>
      <w:sz w:val="20"/>
      <w:szCs w:val="20"/>
    </w:rPr>
  </w:style>
  <w:style w:type="character" w:styleId="FootnoteReference">
    <w:name w:val="footnote reference"/>
    <w:basedOn w:val="DefaultParagraphFont"/>
    <w:uiPriority w:val="99"/>
    <w:semiHidden/>
    <w:unhideWhenUsed/>
    <w:rsid w:val="00D74632"/>
    <w:rPr>
      <w:vertAlign w:val="superscript"/>
    </w:rPr>
  </w:style>
  <w:style w:type="character" w:styleId="Hyperlink">
    <w:name w:val="Hyperlink"/>
    <w:basedOn w:val="DefaultParagraphFont"/>
    <w:uiPriority w:val="99"/>
    <w:unhideWhenUsed/>
    <w:rsid w:val="00D74632"/>
    <w:rPr>
      <w:color w:val="0000FF" w:themeColor="hyperlink"/>
      <w:u w:val="single"/>
    </w:rPr>
  </w:style>
  <w:style w:type="paragraph" w:styleId="Caption">
    <w:name w:val="caption"/>
    <w:basedOn w:val="Normal"/>
    <w:next w:val="Normal"/>
    <w:uiPriority w:val="35"/>
    <w:unhideWhenUsed/>
    <w:qFormat/>
    <w:rsid w:val="00D175B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3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3B1"/>
    <w:pPr>
      <w:ind w:left="720"/>
      <w:contextualSpacing/>
    </w:pPr>
  </w:style>
  <w:style w:type="paragraph" w:styleId="FootnoteText">
    <w:name w:val="footnote text"/>
    <w:basedOn w:val="Normal"/>
    <w:link w:val="FootnoteTextChar"/>
    <w:uiPriority w:val="99"/>
    <w:unhideWhenUsed/>
    <w:rsid w:val="00D74632"/>
    <w:pPr>
      <w:spacing w:after="0" w:line="240" w:lineRule="auto"/>
    </w:pPr>
    <w:rPr>
      <w:sz w:val="20"/>
      <w:szCs w:val="20"/>
    </w:rPr>
  </w:style>
  <w:style w:type="character" w:customStyle="1" w:styleId="FootnoteTextChar">
    <w:name w:val="Footnote Text Char"/>
    <w:basedOn w:val="DefaultParagraphFont"/>
    <w:link w:val="FootnoteText"/>
    <w:uiPriority w:val="99"/>
    <w:rsid w:val="00D74632"/>
    <w:rPr>
      <w:sz w:val="20"/>
      <w:szCs w:val="20"/>
    </w:rPr>
  </w:style>
  <w:style w:type="character" w:styleId="FootnoteReference">
    <w:name w:val="footnote reference"/>
    <w:basedOn w:val="DefaultParagraphFont"/>
    <w:uiPriority w:val="99"/>
    <w:semiHidden/>
    <w:unhideWhenUsed/>
    <w:rsid w:val="00D74632"/>
    <w:rPr>
      <w:vertAlign w:val="superscript"/>
    </w:rPr>
  </w:style>
  <w:style w:type="character" w:styleId="Hyperlink">
    <w:name w:val="Hyperlink"/>
    <w:basedOn w:val="DefaultParagraphFont"/>
    <w:uiPriority w:val="99"/>
    <w:unhideWhenUsed/>
    <w:rsid w:val="00D74632"/>
    <w:rPr>
      <w:color w:val="0000FF" w:themeColor="hyperlink"/>
      <w:u w:val="single"/>
    </w:rPr>
  </w:style>
  <w:style w:type="paragraph" w:styleId="Caption">
    <w:name w:val="caption"/>
    <w:basedOn w:val="Normal"/>
    <w:next w:val="Normal"/>
    <w:uiPriority w:val="35"/>
    <w:unhideWhenUsed/>
    <w:qFormat/>
    <w:rsid w:val="00D175B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3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83">
      <w:bodyDiv w:val="1"/>
      <w:marLeft w:val="0"/>
      <w:marRight w:val="0"/>
      <w:marTop w:val="0"/>
      <w:marBottom w:val="0"/>
      <w:divBdr>
        <w:top w:val="none" w:sz="0" w:space="0" w:color="auto"/>
        <w:left w:val="none" w:sz="0" w:space="0" w:color="auto"/>
        <w:bottom w:val="none" w:sz="0" w:space="0" w:color="auto"/>
        <w:right w:val="none" w:sz="0" w:space="0" w:color="auto"/>
      </w:divBdr>
    </w:div>
    <w:div w:id="378018991">
      <w:bodyDiv w:val="1"/>
      <w:marLeft w:val="0"/>
      <w:marRight w:val="0"/>
      <w:marTop w:val="0"/>
      <w:marBottom w:val="0"/>
      <w:divBdr>
        <w:top w:val="none" w:sz="0" w:space="0" w:color="auto"/>
        <w:left w:val="none" w:sz="0" w:space="0" w:color="auto"/>
        <w:bottom w:val="none" w:sz="0" w:space="0" w:color="auto"/>
        <w:right w:val="none" w:sz="0" w:space="0" w:color="auto"/>
      </w:divBdr>
    </w:div>
    <w:div w:id="1343707281">
      <w:bodyDiv w:val="1"/>
      <w:marLeft w:val="0"/>
      <w:marRight w:val="0"/>
      <w:marTop w:val="0"/>
      <w:marBottom w:val="0"/>
      <w:divBdr>
        <w:top w:val="none" w:sz="0" w:space="0" w:color="auto"/>
        <w:left w:val="none" w:sz="0" w:space="0" w:color="auto"/>
        <w:bottom w:val="none" w:sz="0" w:space="0" w:color="auto"/>
        <w:right w:val="none" w:sz="0" w:space="0" w:color="auto"/>
      </w:divBdr>
    </w:div>
    <w:div w:id="1780683971">
      <w:bodyDiv w:val="1"/>
      <w:marLeft w:val="0"/>
      <w:marRight w:val="0"/>
      <w:marTop w:val="0"/>
      <w:marBottom w:val="0"/>
      <w:divBdr>
        <w:top w:val="none" w:sz="0" w:space="0" w:color="auto"/>
        <w:left w:val="none" w:sz="0" w:space="0" w:color="auto"/>
        <w:bottom w:val="none" w:sz="0" w:space="0" w:color="auto"/>
        <w:right w:val="none" w:sz="0" w:space="0" w:color="auto"/>
      </w:divBdr>
    </w:div>
    <w:div w:id="2107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ostat.fa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stat.fao.org" TargetMode="External"/><Relationship Id="rId2" Type="http://schemas.openxmlformats.org/officeDocument/2006/relationships/hyperlink" Target="http://www.tobaccosa.co.za/docs/NKC-Tobacco_Value_Chain_Report-October_2012.pdf" TargetMode="External"/><Relationship Id="rId1" Type="http://schemas.openxmlformats.org/officeDocument/2006/relationships/hyperlink" Target="mailto:grievechelw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3B42-0AE7-4187-9FFD-45BD130A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 Chelwa</dc:creator>
  <cp:lastModifiedBy>Nicole Vellios</cp:lastModifiedBy>
  <cp:revision>2</cp:revision>
  <dcterms:created xsi:type="dcterms:W3CDTF">2013-11-21T11:35:00Z</dcterms:created>
  <dcterms:modified xsi:type="dcterms:W3CDTF">2013-11-21T11:35:00Z</dcterms:modified>
</cp:coreProperties>
</file>